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286808EB" w:rsidR="00121EB1" w:rsidRPr="00EB0EEF" w:rsidRDefault="00643F49" w:rsidP="00EB0EEF">
            <w:pPr>
              <w:pStyle w:val="DocumentTitle"/>
              <w:tabs>
                <w:tab w:val="left" w:pos="1074"/>
              </w:tabs>
              <w:spacing w:before="0" w:after="0"/>
              <w:rPr>
                <w:sz w:val="18"/>
                <w:szCs w:val="20"/>
              </w:rPr>
            </w:pPr>
            <w:r>
              <w:rPr>
                <w:sz w:val="18"/>
                <w:szCs w:val="20"/>
              </w:rPr>
              <w:t>pCODR 10129</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22DFF16D" w:rsidR="00F369F8" w:rsidRPr="00EB0EEF" w:rsidRDefault="00643F49" w:rsidP="00643F49">
            <w:pPr>
              <w:pStyle w:val="DocumentTitle"/>
              <w:tabs>
                <w:tab w:val="left" w:pos="1074"/>
              </w:tabs>
              <w:spacing w:before="0" w:after="0"/>
              <w:rPr>
                <w:sz w:val="18"/>
                <w:szCs w:val="20"/>
              </w:rPr>
            </w:pPr>
            <w:r>
              <w:rPr>
                <w:sz w:val="18"/>
                <w:szCs w:val="20"/>
              </w:rPr>
              <w:t>D</w:t>
            </w:r>
            <w:r w:rsidRPr="00643F49">
              <w:rPr>
                <w:sz w:val="18"/>
                <w:szCs w:val="20"/>
              </w:rPr>
              <w:t>acomitinib</w:t>
            </w:r>
            <w:r>
              <w:rPr>
                <w:sz w:val="18"/>
                <w:szCs w:val="20"/>
              </w:rPr>
              <w:t xml:space="preserve"> (TBD)</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7008A8C8" w:rsidR="00F369F8" w:rsidRPr="00EB0EEF" w:rsidRDefault="00643F49" w:rsidP="00643F49">
            <w:pPr>
              <w:pStyle w:val="DocumentTitle"/>
              <w:tabs>
                <w:tab w:val="left" w:pos="1074"/>
              </w:tabs>
              <w:spacing w:before="0" w:after="0"/>
              <w:rPr>
                <w:sz w:val="18"/>
                <w:szCs w:val="20"/>
              </w:rPr>
            </w:pPr>
            <w:r>
              <w:rPr>
                <w:sz w:val="18"/>
                <w:szCs w:val="20"/>
              </w:rPr>
              <w:t>N</w:t>
            </w:r>
            <w:r w:rsidRPr="00643F49">
              <w:rPr>
                <w:sz w:val="18"/>
                <w:szCs w:val="20"/>
              </w:rPr>
              <w:t xml:space="preserve">on small cell lung cancer (NSCLC) </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0DD59F66" w:rsidR="00F369F8" w:rsidRPr="00EB0EEF" w:rsidRDefault="00643F49" w:rsidP="00EB0EEF">
            <w:pPr>
              <w:pStyle w:val="DocumentTitle"/>
              <w:tabs>
                <w:tab w:val="left" w:pos="1074"/>
              </w:tabs>
              <w:spacing w:before="0" w:after="0"/>
              <w:rPr>
                <w:sz w:val="18"/>
                <w:szCs w:val="20"/>
              </w:rPr>
            </w:pPr>
            <w:r>
              <w:rPr>
                <w:sz w:val="18"/>
                <w:szCs w:val="20"/>
              </w:rPr>
              <w:t>F</w:t>
            </w:r>
            <w:r w:rsidRPr="00643F49">
              <w:rPr>
                <w:sz w:val="18"/>
                <w:szCs w:val="20"/>
              </w:rPr>
              <w:t>or the first-line treatment of patients with locally advanced or metastatic non small cell lung cancer (NSCLC) with epidermal growth factor receptor (EGFR)-activating mutations.</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7511E6A" w14:textId="77777777" w:rsidR="00643F49" w:rsidRPr="00643F49" w:rsidRDefault="00643F49" w:rsidP="00643F49">
            <w:pPr>
              <w:pStyle w:val="DocumentTitle"/>
              <w:numPr>
                <w:ilvl w:val="0"/>
                <w:numId w:val="44"/>
              </w:numPr>
              <w:tabs>
                <w:tab w:val="left" w:pos="1074"/>
              </w:tabs>
              <w:spacing w:before="0" w:after="0"/>
              <w:ind w:left="245" w:hanging="180"/>
              <w:rPr>
                <w:sz w:val="18"/>
                <w:szCs w:val="18"/>
              </w:rPr>
            </w:pPr>
            <w:r w:rsidRPr="00643F49">
              <w:rPr>
                <w:sz w:val="18"/>
                <w:szCs w:val="18"/>
                <w:shd w:val="clear" w:color="auto" w:fill="FFFFFF"/>
              </w:rPr>
              <w:t>ARCHER 1050 (</w:t>
            </w:r>
            <w:hyperlink r:id="rId14" w:tgtFrame="_blank" w:history="1">
              <w:r w:rsidRPr="00643F49">
                <w:rPr>
                  <w:rStyle w:val="Hyperlink"/>
                  <w:color w:val="auto"/>
                  <w:sz w:val="18"/>
                  <w:szCs w:val="18"/>
                  <w:bdr w:val="none" w:sz="0" w:space="0" w:color="auto" w:frame="1"/>
                  <w:shd w:val="clear" w:color="auto" w:fill="FFFFFF"/>
                </w:rPr>
                <w:t>NCT01774721</w:t>
              </w:r>
            </w:hyperlink>
            <w:r w:rsidRPr="00643F49">
              <w:rPr>
                <w:sz w:val="18"/>
                <w:szCs w:val="18"/>
              </w:rPr>
              <w:t>)</w:t>
            </w:r>
            <w:r w:rsidRPr="00643F49">
              <w:rPr>
                <w:sz w:val="18"/>
                <w:szCs w:val="18"/>
                <w:shd w:val="clear" w:color="auto" w:fill="FFFFFF"/>
              </w:rPr>
              <w:t> </w:t>
            </w:r>
          </w:p>
          <w:p w14:paraId="52AF8FBD" w14:textId="1E088281" w:rsidR="00643F49" w:rsidRPr="00643F49" w:rsidRDefault="00643F49" w:rsidP="00643F49">
            <w:pPr>
              <w:pStyle w:val="DocumentTitle"/>
              <w:numPr>
                <w:ilvl w:val="0"/>
                <w:numId w:val="44"/>
              </w:numPr>
              <w:tabs>
                <w:tab w:val="left" w:pos="1074"/>
              </w:tabs>
              <w:spacing w:before="0" w:after="0"/>
              <w:ind w:left="245" w:hanging="180"/>
              <w:rPr>
                <w:sz w:val="18"/>
                <w:szCs w:val="20"/>
              </w:rPr>
            </w:pPr>
            <w:r w:rsidRPr="00643F49">
              <w:rPr>
                <w:sz w:val="18"/>
                <w:szCs w:val="18"/>
                <w:shd w:val="clear" w:color="auto" w:fill="FFFFFF"/>
              </w:rPr>
              <w:t>Wu et al. </w:t>
            </w:r>
            <w:hyperlink r:id="rId15" w:tgtFrame="_blank" w:history="1">
              <w:r w:rsidRPr="00643F49">
                <w:rPr>
                  <w:rStyle w:val="Hyperlink"/>
                  <w:color w:val="auto"/>
                  <w:sz w:val="18"/>
                  <w:szCs w:val="18"/>
                  <w:bdr w:val="none" w:sz="0" w:space="0" w:color="auto" w:frame="1"/>
                  <w:shd w:val="clear" w:color="auto" w:fill="FFFFFF"/>
                </w:rPr>
                <w:t>The Lancet Oncol 2017; 18(11):1454-66</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2CD7C92A" w:rsidR="00275E1C" w:rsidRPr="00643F49" w:rsidRDefault="00275E1C" w:rsidP="00643F49">
            <w:pPr>
              <w:pStyle w:val="DocumentTitle"/>
              <w:tabs>
                <w:tab w:val="left" w:pos="1074"/>
              </w:tabs>
              <w:spacing w:before="0" w:after="0"/>
              <w:rPr>
                <w:sz w:val="18"/>
                <w:szCs w:val="20"/>
              </w:rPr>
            </w:pPr>
            <w:r w:rsidRPr="00643F49">
              <w:rPr>
                <w:sz w:val="18"/>
                <w:szCs w:val="20"/>
              </w:rPr>
              <w:t xml:space="preserve">Pending </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0D5D315F" w:rsidR="00275E1C" w:rsidRPr="00643F49" w:rsidRDefault="00275E1C" w:rsidP="00643F49">
            <w:pPr>
              <w:pStyle w:val="DocumentTitle"/>
              <w:tabs>
                <w:tab w:val="left" w:pos="1074"/>
              </w:tabs>
              <w:spacing w:before="0" w:after="0"/>
              <w:rPr>
                <w:sz w:val="18"/>
                <w:szCs w:val="20"/>
              </w:rPr>
            </w:pP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4B3BC142" w:rsidR="00F369F8" w:rsidRPr="00643F49" w:rsidRDefault="00F369F8" w:rsidP="00EB0EEF">
            <w:pPr>
              <w:pStyle w:val="DocumentTitle"/>
              <w:tabs>
                <w:tab w:val="left" w:pos="1074"/>
              </w:tabs>
              <w:spacing w:before="0" w:after="0"/>
              <w:rPr>
                <w:sz w:val="18"/>
                <w:szCs w:val="20"/>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4FC4E546" w14:textId="0958EDED" w:rsidR="00643F49" w:rsidRPr="00643F49" w:rsidRDefault="00643F49" w:rsidP="00643F49">
            <w:pPr>
              <w:pStyle w:val="DocumentTitle"/>
              <w:numPr>
                <w:ilvl w:val="0"/>
                <w:numId w:val="49"/>
              </w:numPr>
              <w:tabs>
                <w:tab w:val="left" w:pos="1074"/>
              </w:tabs>
              <w:spacing w:before="0" w:after="0"/>
              <w:rPr>
                <w:sz w:val="18"/>
                <w:szCs w:val="20"/>
              </w:rPr>
            </w:pPr>
            <w:r w:rsidRPr="00643F49">
              <w:rPr>
                <w:sz w:val="18"/>
                <w:szCs w:val="20"/>
              </w:rPr>
              <w:t xml:space="preserve">Metastatic non-small-cell lung cancer: ESMO Clinical Practice Guidelines for diagnosis, treatment and follow-up. </w:t>
            </w:r>
            <w:hyperlink r:id="rId16" w:history="1">
              <w:r w:rsidRPr="00643F49">
                <w:rPr>
                  <w:rStyle w:val="Hyperlink"/>
                  <w:sz w:val="18"/>
                  <w:szCs w:val="20"/>
                </w:rPr>
                <w:t>Ann Oncol. 2016 Sep;27(suppl 5):v1-v27</w:t>
              </w:r>
            </w:hyperlink>
            <w:r w:rsidRPr="00643F49">
              <w:rPr>
                <w:sz w:val="18"/>
                <w:szCs w:val="20"/>
              </w:rPr>
              <w:t>.</w:t>
            </w:r>
          </w:p>
          <w:p w14:paraId="17E99E46" w14:textId="1DEA6000" w:rsidR="00420EEA" w:rsidRPr="00643F49" w:rsidRDefault="00D52F9F" w:rsidP="00643F49">
            <w:pPr>
              <w:pStyle w:val="DocumentTitle"/>
              <w:numPr>
                <w:ilvl w:val="0"/>
                <w:numId w:val="49"/>
              </w:numPr>
              <w:tabs>
                <w:tab w:val="left" w:pos="1074"/>
              </w:tabs>
              <w:spacing w:before="0" w:after="0"/>
              <w:rPr>
                <w:sz w:val="18"/>
                <w:szCs w:val="20"/>
              </w:rPr>
            </w:pPr>
            <w:hyperlink r:id="rId17" w:history="1">
              <w:r w:rsidR="003100FC" w:rsidRPr="00643F49">
                <w:rPr>
                  <w:rStyle w:val="Hyperlink"/>
                  <w:sz w:val="18"/>
                  <w:szCs w:val="20"/>
                </w:rPr>
                <w:t>NCCN</w:t>
              </w:r>
              <w:r w:rsidR="00643F49" w:rsidRPr="00643F49">
                <w:rPr>
                  <w:rStyle w:val="Hyperlink"/>
                  <w:sz w:val="18"/>
                  <w:szCs w:val="20"/>
                </w:rPr>
                <w:t xml:space="preserve"> Non-small cell lung cancer guidelines</w:t>
              </w:r>
            </w:hyperlink>
            <w:r w:rsidR="00643F49">
              <w:rPr>
                <w:sz w:val="18"/>
                <w:szCs w:val="20"/>
              </w:rPr>
              <w:t>.</w:t>
            </w:r>
            <w:r w:rsidR="00643F49" w:rsidRPr="00643F49">
              <w:rPr>
                <w:sz w:val="18"/>
                <w:szCs w:val="20"/>
              </w:rPr>
              <w:t xml:space="preserve"> </w:t>
            </w:r>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757810E4" w14:textId="442E1D7F" w:rsidR="005D63CD" w:rsidRPr="005D63CD" w:rsidRDefault="005D63CD" w:rsidP="005D63CD">
            <w:pPr>
              <w:pStyle w:val="DocumentTitle"/>
              <w:tabs>
                <w:tab w:val="left" w:pos="1074"/>
              </w:tabs>
              <w:spacing w:before="0" w:after="0"/>
              <w:rPr>
                <w:sz w:val="18"/>
                <w:szCs w:val="20"/>
              </w:rPr>
            </w:pPr>
            <w:r w:rsidRPr="005D63CD">
              <w:rPr>
                <w:sz w:val="18"/>
                <w:szCs w:val="20"/>
              </w:rPr>
              <w:t>Afatinib is funded in all provinces for first line treatment. Gefitinib and erlotinib are funded in some provinces for first line treatment of NSCLC with EGFR mutations.</w:t>
            </w:r>
          </w:p>
          <w:p w14:paraId="736432D2" w14:textId="77777777" w:rsidR="005D63CD" w:rsidRDefault="005D63CD" w:rsidP="005D63CD">
            <w:pPr>
              <w:pStyle w:val="DocumentTitle"/>
              <w:tabs>
                <w:tab w:val="left" w:pos="1074"/>
              </w:tabs>
              <w:spacing w:before="0" w:after="0"/>
              <w:rPr>
                <w:color w:val="C00000"/>
                <w:sz w:val="18"/>
                <w:szCs w:val="20"/>
              </w:rPr>
            </w:pPr>
          </w:p>
          <w:p w14:paraId="09ECBE82" w14:textId="1D9BC4FC" w:rsidR="00420EEA" w:rsidRPr="00EB0EEF" w:rsidRDefault="005D63CD" w:rsidP="005D63CD">
            <w:pPr>
              <w:pStyle w:val="DocumentTitle"/>
              <w:tabs>
                <w:tab w:val="left" w:pos="1074"/>
              </w:tabs>
              <w:spacing w:before="0" w:after="0"/>
              <w:rPr>
                <w:color w:val="C00000"/>
                <w:sz w:val="18"/>
                <w:szCs w:val="20"/>
              </w:rPr>
            </w:pPr>
            <w:r w:rsidRPr="00992FF5">
              <w:rPr>
                <w:sz w:val="18"/>
                <w:szCs w:val="20"/>
              </w:rPr>
              <w:t>See Ap</w:t>
            </w:r>
            <w:r>
              <w:rPr>
                <w:sz w:val="18"/>
                <w:szCs w:val="20"/>
              </w:rPr>
              <w:t xml:space="preserve">pendix B – Provincial </w:t>
            </w:r>
            <w:r w:rsidRPr="005D63CD">
              <w:rPr>
                <w:sz w:val="18"/>
                <w:szCs w:val="18"/>
              </w:rPr>
              <w:t xml:space="preserve">Funding of Treatment for </w:t>
            </w:r>
            <w:r w:rsidRPr="005D63CD">
              <w:rPr>
                <w:rFonts w:eastAsiaTheme="minorHAnsi" w:cstheme="minorBidi"/>
                <w:sz w:val="18"/>
                <w:szCs w:val="18"/>
              </w:rPr>
              <w:t>Metastatic EGFR+ NSCLC</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bookmarkStart w:id="4" w:name="_GoBack"/>
      <w:r w:rsidRPr="00EB0EEF">
        <w:rPr>
          <w:rFonts w:ascii="Arial" w:hAnsi="Arial" w:cs="Arial"/>
          <w:sz w:val="18"/>
        </w:rPr>
        <w:t>Do you have experience with using the treatment (through clinical trials, manufacturer’s access program, private drug insurance) under review?</w:t>
      </w:r>
      <w:bookmarkEnd w:id="4"/>
    </w:p>
    <w:p w14:paraId="3FA11689" w14:textId="2DD20B39" w:rsidR="00866DE5" w:rsidRPr="00EB0EEF" w:rsidRDefault="00D52F9F"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lastRenderedPageBreak/>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67FBF8C1" w14:textId="056F7871" w:rsidR="00905A3F" w:rsidRDefault="00905A3F" w:rsidP="00905A3F">
      <w:pPr>
        <w:pStyle w:val="pCODR1Body"/>
        <w:spacing w:after="0"/>
        <w:ind w:left="426"/>
        <w:rPr>
          <w:rFonts w:ascii="Arial" w:hAnsi="Arial" w:cs="Arial"/>
          <w:sz w:val="18"/>
        </w:rPr>
      </w:pPr>
      <w:r>
        <w:rPr>
          <w:rFonts w:ascii="Arial" w:hAnsi="Arial" w:cs="Arial"/>
          <w:b/>
          <w:sz w:val="18"/>
        </w:rPr>
        <w:t xml:space="preserve">4.1. </w:t>
      </w:r>
      <w:r w:rsidR="00D52F9F" w:rsidRPr="00D52F9F">
        <w:rPr>
          <w:rFonts w:ascii="Arial" w:hAnsi="Arial" w:cs="Arial"/>
          <w:sz w:val="18"/>
        </w:rPr>
        <w:t xml:space="preserve">Osimertinib is </w:t>
      </w:r>
      <w:r w:rsidR="00D52F9F">
        <w:rPr>
          <w:rFonts w:ascii="Arial" w:hAnsi="Arial" w:cs="Arial"/>
          <w:sz w:val="18"/>
        </w:rPr>
        <w:t xml:space="preserve">currently </w:t>
      </w:r>
      <w:r w:rsidR="00D52F9F" w:rsidRPr="00D52F9F">
        <w:rPr>
          <w:rFonts w:ascii="Arial" w:hAnsi="Arial" w:cs="Arial"/>
          <w:sz w:val="18"/>
        </w:rPr>
        <w:t>being reviewed for the first-line treatment of patients with locally advanced or metastatic NSCLC whose tumours have EGFR mutations.</w:t>
      </w:r>
      <w:r w:rsidR="00D52F9F" w:rsidRPr="00D52F9F">
        <w:rPr>
          <w:rFonts w:ascii="Arial" w:hAnsi="Arial" w:cs="Arial"/>
          <w:b/>
          <w:sz w:val="18"/>
        </w:rPr>
        <w:t xml:space="preserve"> </w:t>
      </w:r>
      <w:r w:rsidRPr="00905A3F">
        <w:rPr>
          <w:rFonts w:ascii="Arial" w:hAnsi="Arial" w:cs="Arial"/>
          <w:sz w:val="18"/>
        </w:rPr>
        <w:t xml:space="preserve">Would </w:t>
      </w:r>
      <w:r>
        <w:rPr>
          <w:rFonts w:ascii="Arial" w:hAnsi="Arial" w:cs="Arial"/>
          <w:sz w:val="18"/>
        </w:rPr>
        <w:t xml:space="preserve">you use </w:t>
      </w:r>
      <w:r w:rsidRPr="00905A3F">
        <w:rPr>
          <w:rFonts w:ascii="Arial" w:hAnsi="Arial" w:cs="Arial"/>
          <w:sz w:val="18"/>
        </w:rPr>
        <w:t>dacomitinib instead of osimertinib</w:t>
      </w:r>
      <w:r>
        <w:rPr>
          <w:rFonts w:ascii="Arial" w:hAnsi="Arial" w:cs="Arial"/>
          <w:sz w:val="18"/>
        </w:rPr>
        <w:t>,</w:t>
      </w:r>
      <w:r w:rsidRPr="00905A3F">
        <w:rPr>
          <w:rFonts w:ascii="Arial" w:hAnsi="Arial" w:cs="Arial"/>
          <w:sz w:val="18"/>
        </w:rPr>
        <w:t xml:space="preserve"> or sequen</w:t>
      </w:r>
      <w:r>
        <w:rPr>
          <w:rFonts w:ascii="Arial" w:hAnsi="Arial" w:cs="Arial"/>
          <w:sz w:val="18"/>
        </w:rPr>
        <w:t>ce before or after osimertinib?</w:t>
      </w:r>
      <w:r w:rsidRPr="00905A3F">
        <w:rPr>
          <w:rFonts w:ascii="Arial" w:hAnsi="Arial" w:cs="Arial"/>
          <w:sz w:val="18"/>
        </w:rPr>
        <w:t xml:space="preserve">  </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905A3F" w14:paraId="62A8C75C" w14:textId="77777777" w:rsidTr="00905A3F">
        <w:trPr>
          <w:trHeight w:val="419"/>
        </w:trPr>
        <w:tc>
          <w:tcPr>
            <w:tcW w:w="10292" w:type="dxa"/>
          </w:tcPr>
          <w:p w14:paraId="4882F2C8" w14:textId="77777777" w:rsidR="00905A3F" w:rsidRDefault="00905A3F" w:rsidP="00905A3F">
            <w:pPr>
              <w:pStyle w:val="pCODR01AppendixHeader"/>
              <w:spacing w:before="0" w:after="0"/>
              <w:rPr>
                <w:rFonts w:ascii="Arial" w:hAnsi="Arial" w:cs="Arial"/>
                <w:spacing w:val="0"/>
              </w:rPr>
            </w:pPr>
          </w:p>
        </w:tc>
      </w:tr>
    </w:tbl>
    <w:p w14:paraId="13C96F55" w14:textId="77777777" w:rsidR="00905A3F" w:rsidRDefault="00905A3F" w:rsidP="00905A3F">
      <w:pPr>
        <w:pStyle w:val="pCODR1Body"/>
        <w:spacing w:after="0"/>
        <w:ind w:left="426"/>
        <w:rPr>
          <w:rFonts w:ascii="Arial" w:hAnsi="Arial" w:cs="Arial"/>
          <w:b/>
          <w:sz w:val="18"/>
        </w:rPr>
      </w:pPr>
    </w:p>
    <w:p w14:paraId="3D13C949" w14:textId="65657C6F" w:rsidR="00905A3F" w:rsidRDefault="00905A3F" w:rsidP="00905A3F">
      <w:pPr>
        <w:pStyle w:val="pCODR1Body"/>
        <w:spacing w:after="0"/>
        <w:ind w:left="426"/>
        <w:rPr>
          <w:rFonts w:ascii="Arial" w:hAnsi="Arial" w:cs="Arial"/>
          <w:sz w:val="18"/>
        </w:rPr>
      </w:pPr>
      <w:r>
        <w:rPr>
          <w:rFonts w:ascii="Arial" w:hAnsi="Arial" w:cs="Arial"/>
          <w:b/>
          <w:sz w:val="18"/>
        </w:rPr>
        <w:t>4.2</w:t>
      </w:r>
      <w:r w:rsidRPr="00AC6B9C">
        <w:rPr>
          <w:rFonts w:ascii="Arial" w:hAnsi="Arial" w:cs="Arial"/>
          <w:sz w:val="18"/>
        </w:rPr>
        <w:t xml:space="preserve"> </w:t>
      </w:r>
      <w:r w:rsidRPr="00905A3F">
        <w:rPr>
          <w:rFonts w:ascii="Arial" w:hAnsi="Arial" w:cs="Arial"/>
          <w:sz w:val="18"/>
        </w:rPr>
        <w:t>Would you switch patients that are currently on treatment with chemotherapy, other TKI</w:t>
      </w:r>
      <w:r>
        <w:rPr>
          <w:rFonts w:ascii="Arial" w:hAnsi="Arial" w:cs="Arial"/>
          <w:sz w:val="18"/>
        </w:rPr>
        <w:t xml:space="preserve"> therapy</w:t>
      </w:r>
      <w:r w:rsidRPr="00905A3F">
        <w:rPr>
          <w:rFonts w:ascii="Arial" w:hAnsi="Arial" w:cs="Arial"/>
          <w:sz w:val="18"/>
        </w:rPr>
        <w:t xml:space="preserve">, or immunotherapy but </w:t>
      </w:r>
      <w:r>
        <w:rPr>
          <w:rFonts w:ascii="Arial" w:hAnsi="Arial" w:cs="Arial"/>
          <w:sz w:val="18"/>
        </w:rPr>
        <w:t xml:space="preserve">who </w:t>
      </w:r>
      <w:r w:rsidRPr="00905A3F">
        <w:rPr>
          <w:rFonts w:ascii="Arial" w:hAnsi="Arial" w:cs="Arial"/>
          <w:sz w:val="18"/>
        </w:rPr>
        <w:t>have not progressed to dacomitinib?</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905A3F" w14:paraId="0329FCC5" w14:textId="77777777" w:rsidTr="00905A3F">
        <w:trPr>
          <w:trHeight w:val="197"/>
        </w:trPr>
        <w:tc>
          <w:tcPr>
            <w:tcW w:w="10292" w:type="dxa"/>
          </w:tcPr>
          <w:p w14:paraId="3B1DD966" w14:textId="77777777" w:rsidR="00905A3F" w:rsidRDefault="00905A3F" w:rsidP="00905A3F">
            <w:pPr>
              <w:pStyle w:val="pCODR01AppendixHeader"/>
              <w:spacing w:before="0" w:after="0"/>
              <w:rPr>
                <w:rFonts w:ascii="Arial" w:hAnsi="Arial" w:cs="Arial"/>
                <w:spacing w:val="0"/>
              </w:rPr>
            </w:pPr>
          </w:p>
        </w:tc>
      </w:tr>
    </w:tbl>
    <w:p w14:paraId="6740F31E" w14:textId="77777777" w:rsidR="00905A3F" w:rsidRDefault="00905A3F" w:rsidP="00905A3F">
      <w:pPr>
        <w:pStyle w:val="pCODR1Body"/>
        <w:spacing w:after="0"/>
        <w:rPr>
          <w:rFonts w:ascii="Arial" w:hAnsi="Arial" w:cs="Arial"/>
          <w:b/>
          <w:sz w:val="18"/>
        </w:rPr>
      </w:pPr>
    </w:p>
    <w:p w14:paraId="599D9B96" w14:textId="4877DF98" w:rsidR="00905A3F" w:rsidRPr="00256EE7" w:rsidRDefault="00905A3F" w:rsidP="00905A3F">
      <w:pPr>
        <w:pStyle w:val="pCODR1Body"/>
        <w:spacing w:after="0"/>
        <w:ind w:left="426"/>
        <w:rPr>
          <w:rFonts w:ascii="Arial" w:hAnsi="Arial" w:cs="Arial"/>
          <w:sz w:val="18"/>
        </w:rPr>
      </w:pPr>
      <w:r>
        <w:rPr>
          <w:rFonts w:ascii="Arial" w:hAnsi="Arial" w:cs="Arial"/>
          <w:b/>
          <w:sz w:val="18"/>
        </w:rPr>
        <w:t xml:space="preserve">4.3 </w:t>
      </w:r>
      <w:r w:rsidRPr="00905A3F">
        <w:rPr>
          <w:rFonts w:ascii="Arial" w:hAnsi="Arial" w:cs="Arial"/>
          <w:sz w:val="18"/>
        </w:rPr>
        <w:t>In the ARCHER 1050 trial, patients were excluded if they had history of brain or leptomeningeal metastases. Based on your experience, would you treat patients with CNS involvement with dacomitinib?</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905A3F" w14:paraId="160FDD76" w14:textId="77777777" w:rsidTr="00905A3F">
        <w:trPr>
          <w:trHeight w:val="70"/>
        </w:trPr>
        <w:tc>
          <w:tcPr>
            <w:tcW w:w="10292" w:type="dxa"/>
          </w:tcPr>
          <w:p w14:paraId="0E66BA90" w14:textId="77777777" w:rsidR="00905A3F" w:rsidRDefault="00905A3F" w:rsidP="00905A3F">
            <w:pPr>
              <w:pStyle w:val="pCODR01AppendixHeader"/>
              <w:spacing w:before="0" w:after="0"/>
              <w:rPr>
                <w:rFonts w:ascii="Arial" w:hAnsi="Arial" w:cs="Arial"/>
                <w:spacing w:val="0"/>
              </w:rPr>
            </w:pPr>
          </w:p>
        </w:tc>
      </w:tr>
    </w:tbl>
    <w:p w14:paraId="0AE0D783" w14:textId="77777777" w:rsidR="00D8302B" w:rsidRPr="00EB0EEF" w:rsidRDefault="00D8302B" w:rsidP="00FB5292">
      <w:pPr>
        <w:pStyle w:val="pCODR01AppendixHeader"/>
        <w:rPr>
          <w:rFonts w:ascii="Arial" w:hAnsi="Arial" w:cs="Arial"/>
          <w:spacing w:val="0"/>
        </w:rPr>
      </w:pPr>
      <w:bookmarkStart w:id="9" w:name="_Appendix_A:_pCODR"/>
      <w:bookmarkStart w:id="10" w:name="_Toc439923603"/>
      <w:bookmarkEnd w:id="9"/>
    </w:p>
    <w:p w14:paraId="37480FF9" w14:textId="77777777" w:rsidR="00D8302B" w:rsidRPr="00EB0EEF" w:rsidRDefault="00D8302B">
      <w:pPr>
        <w:rPr>
          <w:rFonts w:ascii="Arial" w:eastAsia="Times New Roman" w:hAnsi="Arial" w:cs="Arial"/>
          <w:b/>
          <w:kern w:val="28"/>
          <w:sz w:val="28"/>
        </w:rPr>
      </w:pPr>
      <w:r w:rsidRPr="00EB0EEF">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10"/>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796E9C6F" w:rsidR="005D63CD" w:rsidRDefault="005D63CD">
      <w:pPr>
        <w:rPr>
          <w:rFonts w:ascii="Arial" w:hAnsi="Arial" w:cs="Arial"/>
          <w:sz w:val="18"/>
          <w:szCs w:val="18"/>
        </w:rPr>
      </w:pPr>
      <w:r>
        <w:rPr>
          <w:rFonts w:ascii="Arial" w:hAnsi="Arial" w:cs="Arial"/>
          <w:sz w:val="18"/>
          <w:szCs w:val="18"/>
        </w:rPr>
        <w:br w:type="page"/>
      </w:r>
    </w:p>
    <w:p w14:paraId="405729EF" w14:textId="2385C6B9" w:rsidR="005D63CD" w:rsidRDefault="005D63CD" w:rsidP="005D63CD">
      <w:pPr>
        <w:pStyle w:val="pCODR01AppendixHeader"/>
      </w:pPr>
      <w:r w:rsidRPr="00FB5292">
        <w:lastRenderedPageBreak/>
        <w:t>Appendix</w:t>
      </w:r>
      <w:r w:rsidRPr="00F90A13">
        <w:t xml:space="preserve"> B</w:t>
      </w:r>
      <w:r w:rsidRPr="00FB5292">
        <w:t xml:space="preserve">: </w:t>
      </w:r>
      <w:r w:rsidRPr="005D63CD">
        <w:t>Provincial Funding of Treatment for Metastatic EGFR+ NSCLC</w:t>
      </w:r>
    </w:p>
    <w:p w14:paraId="6AF07C1B" w14:textId="17C7B218" w:rsidR="005D63CD" w:rsidRDefault="005D63CD" w:rsidP="005D63CD">
      <w:pPr>
        <w:pStyle w:val="pCODR01AppendixHeader"/>
        <w:rPr>
          <w:b w:val="0"/>
          <w:sz w:val="22"/>
          <w:szCs w:val="22"/>
        </w:rPr>
      </w:pPr>
      <w:r>
        <w:rPr>
          <w:b w:val="0"/>
          <w:sz w:val="22"/>
          <w:szCs w:val="22"/>
        </w:rPr>
        <w:t>As of May 31, 2018</w:t>
      </w:r>
    </w:p>
    <w:p w14:paraId="26D60030" w14:textId="77777777" w:rsidR="005D63CD" w:rsidRPr="002A7B65" w:rsidRDefault="005D63CD" w:rsidP="005D63CD">
      <w:pPr>
        <w:pStyle w:val="pCODR01AppendixHeader"/>
        <w:rPr>
          <w:b w:val="0"/>
          <w:sz w:val="22"/>
          <w:szCs w:val="22"/>
        </w:rPr>
      </w:pPr>
      <w:r w:rsidRPr="002A7B65">
        <w:rPr>
          <w:b w:val="0"/>
          <w:sz w:val="22"/>
          <w:szCs w:val="22"/>
        </w:rPr>
        <w:t>NOTE: All drugs subjected to eligibility criteria.</w:t>
      </w:r>
    </w:p>
    <w:p w14:paraId="33D4CA3A" w14:textId="77777777" w:rsidR="005D63CD" w:rsidRPr="008E7063" w:rsidRDefault="005D63CD" w:rsidP="005D63CD">
      <w:pPr>
        <w:spacing w:after="0"/>
        <w:ind w:left="720"/>
        <w:jc w:val="center"/>
      </w:pPr>
      <w:r>
        <w:t>For First-line Treatment</w:t>
      </w:r>
    </w:p>
    <w:tbl>
      <w:tblPr>
        <w:tblW w:w="981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5" w:type="dxa"/>
          <w:left w:w="85" w:type="dxa"/>
          <w:bottom w:w="85" w:type="dxa"/>
          <w:right w:w="85" w:type="dxa"/>
        </w:tblCellMar>
        <w:tblLook w:val="04A0" w:firstRow="1" w:lastRow="0" w:firstColumn="1" w:lastColumn="0" w:noHBand="0" w:noVBand="1"/>
      </w:tblPr>
      <w:tblGrid>
        <w:gridCol w:w="1151"/>
        <w:gridCol w:w="1151"/>
        <w:gridCol w:w="1521"/>
        <w:gridCol w:w="1417"/>
        <w:gridCol w:w="1418"/>
        <w:gridCol w:w="1417"/>
        <w:gridCol w:w="1744"/>
      </w:tblGrid>
      <w:tr w:rsidR="005D63CD" w:rsidRPr="006064BC" w14:paraId="557C6865" w14:textId="77777777" w:rsidTr="002A1AEF">
        <w:trPr>
          <w:trHeight w:val="198"/>
          <w:jc w:val="center"/>
        </w:trPr>
        <w:tc>
          <w:tcPr>
            <w:tcW w:w="1151" w:type="dxa"/>
            <w:shd w:val="clear" w:color="auto" w:fill="F2F2F2" w:themeFill="background1" w:themeFillShade="F2"/>
          </w:tcPr>
          <w:p w14:paraId="055EDF93" w14:textId="77777777" w:rsidR="005D63CD" w:rsidRPr="006064BC" w:rsidRDefault="005D63CD" w:rsidP="002A1AEF">
            <w:pPr>
              <w:contextualSpacing/>
              <w:jc w:val="center"/>
              <w:rPr>
                <w:b/>
                <w:bCs/>
                <w:szCs w:val="20"/>
              </w:rPr>
            </w:pPr>
            <w:r>
              <w:rPr>
                <w:b/>
                <w:bCs/>
                <w:szCs w:val="20"/>
              </w:rPr>
              <w:t>Province</w:t>
            </w:r>
          </w:p>
        </w:tc>
        <w:tc>
          <w:tcPr>
            <w:tcW w:w="1151" w:type="dxa"/>
            <w:shd w:val="clear" w:color="auto" w:fill="F2F2F2" w:themeFill="background1" w:themeFillShade="F2"/>
          </w:tcPr>
          <w:p w14:paraId="23B3CF57" w14:textId="77777777" w:rsidR="005D63CD" w:rsidRPr="006064BC" w:rsidRDefault="005D63CD" w:rsidP="002A1AEF">
            <w:pPr>
              <w:contextualSpacing/>
              <w:jc w:val="center"/>
              <w:rPr>
                <w:b/>
                <w:bCs/>
                <w:szCs w:val="20"/>
              </w:rPr>
            </w:pPr>
            <w:r>
              <w:rPr>
                <w:b/>
                <w:bCs/>
                <w:szCs w:val="20"/>
              </w:rPr>
              <w:t>Platinum doublet</w:t>
            </w:r>
          </w:p>
        </w:tc>
        <w:tc>
          <w:tcPr>
            <w:tcW w:w="1521" w:type="dxa"/>
            <w:shd w:val="clear" w:color="auto" w:fill="F2F2F2" w:themeFill="background1" w:themeFillShade="F2"/>
          </w:tcPr>
          <w:p w14:paraId="4425F447" w14:textId="77777777" w:rsidR="005D63CD" w:rsidRPr="006064BC" w:rsidRDefault="005D63CD" w:rsidP="002A1AEF">
            <w:pPr>
              <w:contextualSpacing/>
              <w:jc w:val="center"/>
              <w:rPr>
                <w:b/>
                <w:bCs/>
                <w:szCs w:val="20"/>
              </w:rPr>
            </w:pPr>
            <w:r>
              <w:rPr>
                <w:b/>
                <w:bCs/>
                <w:szCs w:val="20"/>
              </w:rPr>
              <w:t>Pemetrexed</w:t>
            </w:r>
          </w:p>
        </w:tc>
        <w:tc>
          <w:tcPr>
            <w:tcW w:w="1417" w:type="dxa"/>
            <w:shd w:val="clear" w:color="auto" w:fill="F2F2F2" w:themeFill="background1" w:themeFillShade="F2"/>
          </w:tcPr>
          <w:p w14:paraId="7F19200E" w14:textId="3D8BBD9E" w:rsidR="005D63CD" w:rsidRPr="006064BC" w:rsidRDefault="005D63CD" w:rsidP="002A1AEF">
            <w:pPr>
              <w:contextualSpacing/>
              <w:jc w:val="center"/>
              <w:rPr>
                <w:b/>
                <w:bCs/>
                <w:szCs w:val="20"/>
              </w:rPr>
            </w:pPr>
            <w:r w:rsidRPr="006064BC">
              <w:rPr>
                <w:b/>
                <w:bCs/>
                <w:szCs w:val="20"/>
              </w:rPr>
              <w:t>Gefitin</w:t>
            </w:r>
            <w:r w:rsidR="00D52F9F">
              <w:rPr>
                <w:b/>
                <w:bCs/>
                <w:szCs w:val="20"/>
              </w:rPr>
              <w:t>i</w:t>
            </w:r>
            <w:r w:rsidRPr="006064BC">
              <w:rPr>
                <w:b/>
                <w:bCs/>
                <w:szCs w:val="20"/>
              </w:rPr>
              <w:t>b</w:t>
            </w:r>
          </w:p>
          <w:p w14:paraId="01EFB83E" w14:textId="77777777" w:rsidR="005D63CD" w:rsidRPr="006064BC" w:rsidRDefault="005D63CD" w:rsidP="002A1AEF">
            <w:pPr>
              <w:contextualSpacing/>
              <w:jc w:val="center"/>
              <w:rPr>
                <w:b/>
                <w:bCs/>
                <w:szCs w:val="20"/>
              </w:rPr>
            </w:pPr>
            <w:r w:rsidRPr="006064BC">
              <w:rPr>
                <w:b/>
                <w:bCs/>
                <w:szCs w:val="20"/>
              </w:rPr>
              <w:t>(for EGFR +)</w:t>
            </w:r>
          </w:p>
        </w:tc>
        <w:tc>
          <w:tcPr>
            <w:tcW w:w="1418" w:type="dxa"/>
            <w:shd w:val="clear" w:color="auto" w:fill="F2F2F2" w:themeFill="background1" w:themeFillShade="F2"/>
          </w:tcPr>
          <w:p w14:paraId="647BDF70" w14:textId="77777777" w:rsidR="005D63CD" w:rsidRPr="006064BC" w:rsidRDefault="005D63CD" w:rsidP="002A1AEF">
            <w:pPr>
              <w:contextualSpacing/>
              <w:jc w:val="center"/>
              <w:rPr>
                <w:b/>
                <w:szCs w:val="20"/>
              </w:rPr>
            </w:pPr>
            <w:r w:rsidRPr="006064BC">
              <w:rPr>
                <w:b/>
                <w:szCs w:val="20"/>
              </w:rPr>
              <w:t>Afatinib</w:t>
            </w:r>
          </w:p>
          <w:p w14:paraId="7F37BF60" w14:textId="77777777" w:rsidR="005D63CD" w:rsidRPr="006064BC" w:rsidRDefault="005D63CD" w:rsidP="002A1AEF">
            <w:pPr>
              <w:contextualSpacing/>
              <w:jc w:val="center"/>
              <w:rPr>
                <w:b/>
                <w:szCs w:val="20"/>
              </w:rPr>
            </w:pPr>
            <w:r w:rsidRPr="006064BC">
              <w:rPr>
                <w:b/>
                <w:bCs/>
                <w:szCs w:val="20"/>
              </w:rPr>
              <w:t>(for EGFR +)</w:t>
            </w:r>
          </w:p>
        </w:tc>
        <w:tc>
          <w:tcPr>
            <w:tcW w:w="1417" w:type="dxa"/>
            <w:shd w:val="clear" w:color="auto" w:fill="F2F2F2" w:themeFill="background1" w:themeFillShade="F2"/>
          </w:tcPr>
          <w:p w14:paraId="18B5C81A" w14:textId="77777777" w:rsidR="005D63CD" w:rsidRPr="006064BC" w:rsidRDefault="005D63CD" w:rsidP="002A1AEF">
            <w:pPr>
              <w:contextualSpacing/>
              <w:jc w:val="center"/>
              <w:rPr>
                <w:b/>
                <w:bCs/>
                <w:szCs w:val="20"/>
              </w:rPr>
            </w:pPr>
            <w:r w:rsidRPr="006064BC">
              <w:rPr>
                <w:b/>
                <w:bCs/>
                <w:szCs w:val="20"/>
              </w:rPr>
              <w:t>Erlotinib</w:t>
            </w:r>
          </w:p>
          <w:p w14:paraId="10CA5B99" w14:textId="77777777" w:rsidR="005D63CD" w:rsidRPr="006064BC" w:rsidRDefault="005D63CD" w:rsidP="002A1AEF">
            <w:pPr>
              <w:contextualSpacing/>
              <w:jc w:val="center"/>
              <w:rPr>
                <w:b/>
                <w:bCs/>
                <w:szCs w:val="20"/>
              </w:rPr>
            </w:pPr>
            <w:r w:rsidRPr="006064BC">
              <w:rPr>
                <w:b/>
                <w:bCs/>
                <w:szCs w:val="20"/>
              </w:rPr>
              <w:t>(for EGFR +)</w:t>
            </w:r>
          </w:p>
        </w:tc>
        <w:tc>
          <w:tcPr>
            <w:tcW w:w="1744" w:type="dxa"/>
            <w:shd w:val="clear" w:color="auto" w:fill="F2F2F2" w:themeFill="background1" w:themeFillShade="F2"/>
          </w:tcPr>
          <w:p w14:paraId="3E28C15E" w14:textId="77777777" w:rsidR="005D63CD" w:rsidRDefault="005D63CD" w:rsidP="002A1AEF">
            <w:pPr>
              <w:contextualSpacing/>
              <w:jc w:val="center"/>
              <w:rPr>
                <w:b/>
                <w:bCs/>
                <w:szCs w:val="20"/>
              </w:rPr>
            </w:pPr>
            <w:r>
              <w:rPr>
                <w:b/>
                <w:bCs/>
                <w:szCs w:val="20"/>
              </w:rPr>
              <w:t>Pembrolizumab</w:t>
            </w:r>
          </w:p>
          <w:p w14:paraId="3C8F033F" w14:textId="77777777" w:rsidR="005D63CD" w:rsidRPr="006064BC" w:rsidRDefault="005D63CD" w:rsidP="002A1AEF">
            <w:pPr>
              <w:contextualSpacing/>
              <w:jc w:val="center"/>
              <w:rPr>
                <w:b/>
                <w:bCs/>
                <w:szCs w:val="20"/>
              </w:rPr>
            </w:pPr>
            <w:r>
              <w:rPr>
                <w:b/>
                <w:bCs/>
                <w:szCs w:val="20"/>
              </w:rPr>
              <w:t>(PD-L1 &gt; 50%)</w:t>
            </w:r>
          </w:p>
        </w:tc>
      </w:tr>
      <w:tr w:rsidR="005D63CD" w:rsidRPr="006064BC" w14:paraId="1BAF0E69" w14:textId="77777777" w:rsidTr="002A1AEF">
        <w:trPr>
          <w:trHeight w:val="306"/>
          <w:jc w:val="center"/>
        </w:trPr>
        <w:tc>
          <w:tcPr>
            <w:tcW w:w="1151" w:type="dxa"/>
          </w:tcPr>
          <w:p w14:paraId="20BDC2BC" w14:textId="77777777" w:rsidR="005D63CD" w:rsidRPr="006064BC" w:rsidRDefault="005D63CD" w:rsidP="002A1AEF">
            <w:pPr>
              <w:contextualSpacing/>
              <w:jc w:val="center"/>
              <w:rPr>
                <w:szCs w:val="20"/>
              </w:rPr>
            </w:pPr>
            <w:r w:rsidRPr="006064BC">
              <w:rPr>
                <w:szCs w:val="20"/>
              </w:rPr>
              <w:t>BC</w:t>
            </w:r>
          </w:p>
        </w:tc>
        <w:tc>
          <w:tcPr>
            <w:tcW w:w="1151" w:type="dxa"/>
          </w:tcPr>
          <w:p w14:paraId="2AE46A2F" w14:textId="77777777" w:rsidR="005D63CD" w:rsidRPr="006064BC" w:rsidRDefault="005D63CD" w:rsidP="002A1AEF">
            <w:pPr>
              <w:contextualSpacing/>
              <w:jc w:val="center"/>
              <w:rPr>
                <w:szCs w:val="20"/>
              </w:rPr>
            </w:pPr>
            <w:r w:rsidRPr="006064BC">
              <w:rPr>
                <w:szCs w:val="20"/>
              </w:rPr>
              <w:sym w:font="Wingdings" w:char="F0FC"/>
            </w:r>
          </w:p>
        </w:tc>
        <w:tc>
          <w:tcPr>
            <w:tcW w:w="1521" w:type="dxa"/>
            <w:shd w:val="clear" w:color="auto" w:fill="auto"/>
            <w:tcMar>
              <w:top w:w="72" w:type="dxa"/>
              <w:left w:w="144" w:type="dxa"/>
              <w:bottom w:w="72" w:type="dxa"/>
              <w:right w:w="144" w:type="dxa"/>
            </w:tcMar>
          </w:tcPr>
          <w:p w14:paraId="17CA5648"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485CCD64" w14:textId="77777777" w:rsidR="005D63CD" w:rsidRPr="006064BC" w:rsidRDefault="005D63CD" w:rsidP="002A1AEF">
            <w:pPr>
              <w:contextualSpacing/>
              <w:jc w:val="center"/>
              <w:rPr>
                <w:szCs w:val="20"/>
              </w:rPr>
            </w:pPr>
            <w:r w:rsidRPr="006064BC">
              <w:rPr>
                <w:szCs w:val="20"/>
              </w:rPr>
              <w:sym w:font="Wingdings" w:char="F0FC"/>
            </w:r>
          </w:p>
        </w:tc>
        <w:tc>
          <w:tcPr>
            <w:tcW w:w="1418" w:type="dxa"/>
          </w:tcPr>
          <w:p w14:paraId="2B4048E0"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5C388128" w14:textId="77777777" w:rsidR="005D63CD" w:rsidRPr="006064BC" w:rsidRDefault="005D63CD" w:rsidP="002A1AEF">
            <w:pPr>
              <w:contextualSpacing/>
              <w:jc w:val="center"/>
              <w:rPr>
                <w:szCs w:val="20"/>
              </w:rPr>
            </w:pPr>
            <w:r w:rsidRPr="006064BC">
              <w:rPr>
                <w:szCs w:val="20"/>
              </w:rPr>
              <w:sym w:font="Wingdings" w:char="F0FC"/>
            </w:r>
            <w:r>
              <w:rPr>
                <w:szCs w:val="20"/>
                <w:vertAlign w:val="superscript"/>
              </w:rPr>
              <w:t>1</w:t>
            </w:r>
          </w:p>
        </w:tc>
        <w:tc>
          <w:tcPr>
            <w:tcW w:w="1744" w:type="dxa"/>
          </w:tcPr>
          <w:p w14:paraId="7EBFB5D1" w14:textId="77777777" w:rsidR="005D63CD" w:rsidRPr="006064BC" w:rsidRDefault="005D63CD" w:rsidP="002A1AEF">
            <w:pPr>
              <w:contextualSpacing/>
              <w:jc w:val="center"/>
              <w:rPr>
                <w:szCs w:val="20"/>
              </w:rPr>
            </w:pPr>
            <w:r>
              <w:rPr>
                <w:szCs w:val="20"/>
              </w:rPr>
              <w:sym w:font="Wingdings" w:char="F0FC"/>
            </w:r>
          </w:p>
        </w:tc>
      </w:tr>
      <w:tr w:rsidR="005D63CD" w:rsidRPr="006064BC" w14:paraId="35E616EA" w14:textId="77777777" w:rsidTr="002A1AEF">
        <w:trPr>
          <w:trHeight w:val="306"/>
          <w:jc w:val="center"/>
        </w:trPr>
        <w:tc>
          <w:tcPr>
            <w:tcW w:w="1151" w:type="dxa"/>
          </w:tcPr>
          <w:p w14:paraId="25C892CF" w14:textId="77777777" w:rsidR="005D63CD" w:rsidRPr="006064BC" w:rsidRDefault="005D63CD" w:rsidP="002A1AEF">
            <w:pPr>
              <w:contextualSpacing/>
              <w:jc w:val="center"/>
              <w:rPr>
                <w:szCs w:val="20"/>
              </w:rPr>
            </w:pPr>
            <w:r w:rsidRPr="006064BC">
              <w:rPr>
                <w:szCs w:val="20"/>
              </w:rPr>
              <w:t>AB</w:t>
            </w:r>
          </w:p>
        </w:tc>
        <w:tc>
          <w:tcPr>
            <w:tcW w:w="1151" w:type="dxa"/>
          </w:tcPr>
          <w:p w14:paraId="1AB4DFAD" w14:textId="77777777" w:rsidR="005D63CD" w:rsidRPr="006064BC" w:rsidRDefault="005D63CD" w:rsidP="002A1AEF">
            <w:pPr>
              <w:contextualSpacing/>
              <w:jc w:val="center"/>
              <w:rPr>
                <w:szCs w:val="20"/>
              </w:rPr>
            </w:pPr>
            <w:r w:rsidRPr="006064BC">
              <w:rPr>
                <w:szCs w:val="20"/>
              </w:rPr>
              <w:sym w:font="Wingdings" w:char="F0FC"/>
            </w:r>
          </w:p>
        </w:tc>
        <w:tc>
          <w:tcPr>
            <w:tcW w:w="1521" w:type="dxa"/>
            <w:shd w:val="clear" w:color="auto" w:fill="auto"/>
            <w:tcMar>
              <w:top w:w="72" w:type="dxa"/>
              <w:left w:w="144" w:type="dxa"/>
              <w:bottom w:w="72" w:type="dxa"/>
              <w:right w:w="144" w:type="dxa"/>
            </w:tcMar>
          </w:tcPr>
          <w:p w14:paraId="27F5A679"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16003365" w14:textId="77777777" w:rsidR="005D63CD" w:rsidRPr="006064BC" w:rsidRDefault="005D63CD" w:rsidP="002A1AEF">
            <w:pPr>
              <w:contextualSpacing/>
              <w:jc w:val="center"/>
              <w:rPr>
                <w:szCs w:val="20"/>
              </w:rPr>
            </w:pPr>
            <w:r w:rsidRPr="006064BC">
              <w:rPr>
                <w:szCs w:val="20"/>
              </w:rPr>
              <w:sym w:font="Wingdings" w:char="F0FC"/>
            </w:r>
          </w:p>
        </w:tc>
        <w:tc>
          <w:tcPr>
            <w:tcW w:w="1418" w:type="dxa"/>
          </w:tcPr>
          <w:p w14:paraId="20C06F74"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11806CBE" w14:textId="77777777" w:rsidR="005D63CD" w:rsidRPr="006064BC" w:rsidRDefault="005D63CD" w:rsidP="002A1AEF">
            <w:pPr>
              <w:contextualSpacing/>
              <w:jc w:val="center"/>
              <w:rPr>
                <w:szCs w:val="20"/>
              </w:rPr>
            </w:pPr>
            <w:r w:rsidRPr="006064BC">
              <w:rPr>
                <w:szCs w:val="20"/>
              </w:rPr>
              <w:sym w:font="Wingdings" w:char="F0FC"/>
            </w:r>
          </w:p>
        </w:tc>
        <w:tc>
          <w:tcPr>
            <w:tcW w:w="1744" w:type="dxa"/>
          </w:tcPr>
          <w:p w14:paraId="06D85FF6" w14:textId="77777777" w:rsidR="005D63CD" w:rsidRPr="006064BC" w:rsidRDefault="005D63CD" w:rsidP="002A1AEF">
            <w:pPr>
              <w:contextualSpacing/>
              <w:jc w:val="center"/>
              <w:rPr>
                <w:szCs w:val="20"/>
              </w:rPr>
            </w:pPr>
            <w:r w:rsidRPr="006064BC">
              <w:rPr>
                <w:szCs w:val="20"/>
              </w:rPr>
              <w:sym w:font="Wingdings" w:char="F0FC"/>
            </w:r>
          </w:p>
        </w:tc>
      </w:tr>
      <w:tr w:rsidR="005D63CD" w:rsidRPr="006064BC" w14:paraId="69744CFA" w14:textId="77777777" w:rsidTr="002A1AEF">
        <w:trPr>
          <w:trHeight w:val="306"/>
          <w:jc w:val="center"/>
        </w:trPr>
        <w:tc>
          <w:tcPr>
            <w:tcW w:w="1151" w:type="dxa"/>
          </w:tcPr>
          <w:p w14:paraId="5709F1D6" w14:textId="77777777" w:rsidR="005D63CD" w:rsidRPr="006064BC" w:rsidRDefault="005D63CD" w:rsidP="002A1AEF">
            <w:pPr>
              <w:contextualSpacing/>
              <w:jc w:val="center"/>
              <w:rPr>
                <w:szCs w:val="20"/>
              </w:rPr>
            </w:pPr>
            <w:r w:rsidRPr="006064BC">
              <w:rPr>
                <w:szCs w:val="20"/>
              </w:rPr>
              <w:t>SK</w:t>
            </w:r>
          </w:p>
        </w:tc>
        <w:tc>
          <w:tcPr>
            <w:tcW w:w="1151" w:type="dxa"/>
          </w:tcPr>
          <w:p w14:paraId="338F8EFC" w14:textId="77777777" w:rsidR="005D63CD" w:rsidRPr="006064BC" w:rsidRDefault="005D63CD" w:rsidP="002A1AEF">
            <w:pPr>
              <w:contextualSpacing/>
              <w:jc w:val="center"/>
              <w:rPr>
                <w:szCs w:val="20"/>
              </w:rPr>
            </w:pPr>
            <w:r w:rsidRPr="006064BC">
              <w:rPr>
                <w:szCs w:val="20"/>
              </w:rPr>
              <w:sym w:font="Wingdings" w:char="F0FC"/>
            </w:r>
          </w:p>
        </w:tc>
        <w:tc>
          <w:tcPr>
            <w:tcW w:w="1521" w:type="dxa"/>
            <w:shd w:val="clear" w:color="auto" w:fill="auto"/>
            <w:tcMar>
              <w:top w:w="72" w:type="dxa"/>
              <w:left w:w="144" w:type="dxa"/>
              <w:bottom w:w="72" w:type="dxa"/>
              <w:right w:w="144" w:type="dxa"/>
            </w:tcMar>
          </w:tcPr>
          <w:p w14:paraId="256D3722"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69E8E82B" w14:textId="77777777" w:rsidR="005D63CD" w:rsidRPr="006064BC" w:rsidRDefault="005D63CD" w:rsidP="002A1AEF">
            <w:pPr>
              <w:contextualSpacing/>
              <w:jc w:val="center"/>
              <w:rPr>
                <w:szCs w:val="20"/>
              </w:rPr>
            </w:pPr>
            <w:r w:rsidRPr="006064BC">
              <w:rPr>
                <w:szCs w:val="20"/>
              </w:rPr>
              <w:sym w:font="Wingdings" w:char="F0FC"/>
            </w:r>
          </w:p>
        </w:tc>
        <w:tc>
          <w:tcPr>
            <w:tcW w:w="1418" w:type="dxa"/>
          </w:tcPr>
          <w:p w14:paraId="271FAB24"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04F53EAD" w14:textId="77777777" w:rsidR="005D63CD" w:rsidRPr="006064BC" w:rsidRDefault="005D63CD" w:rsidP="002A1AEF">
            <w:pPr>
              <w:contextualSpacing/>
              <w:jc w:val="center"/>
              <w:rPr>
                <w:szCs w:val="20"/>
              </w:rPr>
            </w:pPr>
            <w:r w:rsidRPr="006064BC">
              <w:rPr>
                <w:szCs w:val="20"/>
              </w:rPr>
              <w:sym w:font="Wingdings" w:char="F0FC"/>
            </w:r>
          </w:p>
        </w:tc>
        <w:tc>
          <w:tcPr>
            <w:tcW w:w="1744" w:type="dxa"/>
          </w:tcPr>
          <w:p w14:paraId="4F7227F9" w14:textId="77777777" w:rsidR="005D63CD" w:rsidRPr="006064BC" w:rsidRDefault="005D63CD" w:rsidP="002A1AEF">
            <w:pPr>
              <w:contextualSpacing/>
              <w:jc w:val="center"/>
              <w:rPr>
                <w:szCs w:val="20"/>
              </w:rPr>
            </w:pPr>
            <w:r w:rsidRPr="006064BC">
              <w:rPr>
                <w:szCs w:val="20"/>
              </w:rPr>
              <w:sym w:font="Wingdings" w:char="F0FC"/>
            </w:r>
          </w:p>
        </w:tc>
      </w:tr>
      <w:tr w:rsidR="005D63CD" w:rsidRPr="006064BC" w14:paraId="3350E5BD" w14:textId="77777777" w:rsidTr="002A1AEF">
        <w:trPr>
          <w:trHeight w:val="306"/>
          <w:jc w:val="center"/>
        </w:trPr>
        <w:tc>
          <w:tcPr>
            <w:tcW w:w="1151" w:type="dxa"/>
          </w:tcPr>
          <w:p w14:paraId="2DBA04A3" w14:textId="77777777" w:rsidR="005D63CD" w:rsidRPr="006064BC" w:rsidRDefault="005D63CD" w:rsidP="002A1AEF">
            <w:pPr>
              <w:contextualSpacing/>
              <w:jc w:val="center"/>
              <w:rPr>
                <w:szCs w:val="20"/>
              </w:rPr>
            </w:pPr>
            <w:r w:rsidRPr="006064BC">
              <w:rPr>
                <w:szCs w:val="20"/>
              </w:rPr>
              <w:t>MB</w:t>
            </w:r>
          </w:p>
        </w:tc>
        <w:tc>
          <w:tcPr>
            <w:tcW w:w="1151" w:type="dxa"/>
          </w:tcPr>
          <w:p w14:paraId="5450B7AE" w14:textId="77777777" w:rsidR="005D63CD" w:rsidRPr="006064BC" w:rsidRDefault="005D63CD" w:rsidP="002A1AEF">
            <w:pPr>
              <w:contextualSpacing/>
              <w:jc w:val="center"/>
              <w:rPr>
                <w:szCs w:val="20"/>
              </w:rPr>
            </w:pPr>
            <w:r w:rsidRPr="006064BC">
              <w:rPr>
                <w:szCs w:val="20"/>
              </w:rPr>
              <w:sym w:font="Wingdings" w:char="F0FC"/>
            </w:r>
          </w:p>
        </w:tc>
        <w:tc>
          <w:tcPr>
            <w:tcW w:w="1521" w:type="dxa"/>
            <w:shd w:val="clear" w:color="auto" w:fill="auto"/>
            <w:tcMar>
              <w:top w:w="72" w:type="dxa"/>
              <w:left w:w="144" w:type="dxa"/>
              <w:bottom w:w="72" w:type="dxa"/>
              <w:right w:w="144" w:type="dxa"/>
            </w:tcMar>
          </w:tcPr>
          <w:p w14:paraId="37A37F94"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166223CA" w14:textId="77777777" w:rsidR="005D63CD" w:rsidRPr="006064BC" w:rsidRDefault="005D63CD" w:rsidP="002A1AEF">
            <w:pPr>
              <w:contextualSpacing/>
              <w:jc w:val="center"/>
              <w:rPr>
                <w:szCs w:val="20"/>
              </w:rPr>
            </w:pPr>
            <w:r w:rsidRPr="006064BC">
              <w:rPr>
                <w:szCs w:val="20"/>
              </w:rPr>
              <w:sym w:font="Wingdings" w:char="F0FC"/>
            </w:r>
          </w:p>
        </w:tc>
        <w:tc>
          <w:tcPr>
            <w:tcW w:w="1418" w:type="dxa"/>
          </w:tcPr>
          <w:p w14:paraId="4E03B9C0"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7FF9CB85" w14:textId="77777777" w:rsidR="005D63CD" w:rsidRPr="006064BC" w:rsidRDefault="005D63CD" w:rsidP="002A1AEF">
            <w:pPr>
              <w:contextualSpacing/>
              <w:jc w:val="center"/>
              <w:rPr>
                <w:szCs w:val="20"/>
              </w:rPr>
            </w:pPr>
            <w:r w:rsidRPr="006064BC">
              <w:rPr>
                <w:szCs w:val="20"/>
              </w:rPr>
              <w:sym w:font="Wingdings" w:char="F0FB"/>
            </w:r>
          </w:p>
        </w:tc>
        <w:tc>
          <w:tcPr>
            <w:tcW w:w="1744" w:type="dxa"/>
          </w:tcPr>
          <w:p w14:paraId="2D01A62D" w14:textId="77777777" w:rsidR="005D63CD" w:rsidRPr="006064BC" w:rsidRDefault="005D63CD" w:rsidP="002A1AEF">
            <w:pPr>
              <w:contextualSpacing/>
              <w:jc w:val="center"/>
              <w:rPr>
                <w:szCs w:val="20"/>
              </w:rPr>
            </w:pPr>
            <w:r w:rsidRPr="006064BC">
              <w:rPr>
                <w:szCs w:val="20"/>
              </w:rPr>
              <w:sym w:font="Wingdings" w:char="F0FC"/>
            </w:r>
          </w:p>
        </w:tc>
      </w:tr>
      <w:tr w:rsidR="005D63CD" w:rsidRPr="006064BC" w14:paraId="4B34A4C4" w14:textId="77777777" w:rsidTr="002A1AEF">
        <w:trPr>
          <w:trHeight w:val="306"/>
          <w:jc w:val="center"/>
        </w:trPr>
        <w:tc>
          <w:tcPr>
            <w:tcW w:w="1151" w:type="dxa"/>
          </w:tcPr>
          <w:p w14:paraId="418A51E3" w14:textId="77777777" w:rsidR="005D63CD" w:rsidRPr="006064BC" w:rsidRDefault="005D63CD" w:rsidP="002A1AEF">
            <w:pPr>
              <w:contextualSpacing/>
              <w:jc w:val="center"/>
              <w:rPr>
                <w:szCs w:val="20"/>
              </w:rPr>
            </w:pPr>
            <w:r w:rsidRPr="006064BC">
              <w:rPr>
                <w:szCs w:val="20"/>
              </w:rPr>
              <w:t>ON</w:t>
            </w:r>
          </w:p>
        </w:tc>
        <w:tc>
          <w:tcPr>
            <w:tcW w:w="1151" w:type="dxa"/>
          </w:tcPr>
          <w:p w14:paraId="72743D37" w14:textId="77777777" w:rsidR="005D63CD" w:rsidRPr="006064BC" w:rsidRDefault="005D63CD" w:rsidP="002A1AEF">
            <w:pPr>
              <w:contextualSpacing/>
              <w:jc w:val="center"/>
              <w:rPr>
                <w:szCs w:val="20"/>
              </w:rPr>
            </w:pPr>
            <w:r w:rsidRPr="006064BC">
              <w:rPr>
                <w:szCs w:val="20"/>
              </w:rPr>
              <w:sym w:font="Wingdings" w:char="F0FC"/>
            </w:r>
          </w:p>
        </w:tc>
        <w:tc>
          <w:tcPr>
            <w:tcW w:w="1521" w:type="dxa"/>
            <w:shd w:val="clear" w:color="auto" w:fill="auto"/>
            <w:tcMar>
              <w:top w:w="72" w:type="dxa"/>
              <w:left w:w="144" w:type="dxa"/>
              <w:bottom w:w="72" w:type="dxa"/>
              <w:right w:w="144" w:type="dxa"/>
            </w:tcMar>
          </w:tcPr>
          <w:p w14:paraId="705D5952"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48387FD2" w14:textId="77777777" w:rsidR="005D63CD" w:rsidRPr="006064BC" w:rsidRDefault="005D63CD" w:rsidP="002A1AEF">
            <w:pPr>
              <w:contextualSpacing/>
              <w:jc w:val="center"/>
              <w:rPr>
                <w:szCs w:val="20"/>
              </w:rPr>
            </w:pPr>
            <w:r w:rsidRPr="006064BC">
              <w:rPr>
                <w:szCs w:val="20"/>
              </w:rPr>
              <w:sym w:font="Wingdings" w:char="F0FC"/>
            </w:r>
          </w:p>
        </w:tc>
        <w:tc>
          <w:tcPr>
            <w:tcW w:w="1418" w:type="dxa"/>
          </w:tcPr>
          <w:p w14:paraId="3A8C7DD2"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3AC3B5A9" w14:textId="77777777" w:rsidR="005D63CD" w:rsidRPr="006064BC" w:rsidRDefault="005D63CD" w:rsidP="002A1AEF">
            <w:pPr>
              <w:contextualSpacing/>
              <w:jc w:val="center"/>
              <w:rPr>
                <w:szCs w:val="20"/>
              </w:rPr>
            </w:pPr>
            <w:r w:rsidRPr="006064BC">
              <w:rPr>
                <w:szCs w:val="20"/>
              </w:rPr>
              <w:sym w:font="Wingdings" w:char="F0FB"/>
            </w:r>
          </w:p>
        </w:tc>
        <w:tc>
          <w:tcPr>
            <w:tcW w:w="1744" w:type="dxa"/>
          </w:tcPr>
          <w:p w14:paraId="011CDC1B" w14:textId="77777777" w:rsidR="005D63CD" w:rsidRPr="006064BC" w:rsidRDefault="005D63CD" w:rsidP="002A1AEF">
            <w:pPr>
              <w:contextualSpacing/>
              <w:jc w:val="center"/>
              <w:rPr>
                <w:szCs w:val="20"/>
              </w:rPr>
            </w:pPr>
            <w:r w:rsidRPr="006064BC">
              <w:rPr>
                <w:szCs w:val="20"/>
              </w:rPr>
              <w:sym w:font="Wingdings" w:char="F0FC"/>
            </w:r>
          </w:p>
        </w:tc>
      </w:tr>
      <w:tr w:rsidR="005D63CD" w:rsidRPr="006064BC" w14:paraId="4A6FC28C" w14:textId="77777777" w:rsidTr="002A1AEF">
        <w:trPr>
          <w:trHeight w:val="306"/>
          <w:jc w:val="center"/>
        </w:trPr>
        <w:tc>
          <w:tcPr>
            <w:tcW w:w="1151" w:type="dxa"/>
          </w:tcPr>
          <w:p w14:paraId="3DA1CC72" w14:textId="77777777" w:rsidR="005D63CD" w:rsidRPr="006064BC" w:rsidRDefault="005D63CD" w:rsidP="002A1AEF">
            <w:pPr>
              <w:contextualSpacing/>
              <w:jc w:val="center"/>
              <w:rPr>
                <w:szCs w:val="20"/>
              </w:rPr>
            </w:pPr>
            <w:r w:rsidRPr="006064BC">
              <w:rPr>
                <w:szCs w:val="20"/>
              </w:rPr>
              <w:t>NS</w:t>
            </w:r>
          </w:p>
        </w:tc>
        <w:tc>
          <w:tcPr>
            <w:tcW w:w="1151" w:type="dxa"/>
          </w:tcPr>
          <w:p w14:paraId="032CFD2C" w14:textId="77777777" w:rsidR="005D63CD" w:rsidRPr="006064BC" w:rsidRDefault="005D63CD" w:rsidP="002A1AEF">
            <w:pPr>
              <w:contextualSpacing/>
              <w:jc w:val="center"/>
              <w:rPr>
                <w:szCs w:val="20"/>
              </w:rPr>
            </w:pPr>
            <w:r w:rsidRPr="006064BC">
              <w:rPr>
                <w:szCs w:val="20"/>
              </w:rPr>
              <w:sym w:font="Wingdings" w:char="F0FC"/>
            </w:r>
          </w:p>
        </w:tc>
        <w:tc>
          <w:tcPr>
            <w:tcW w:w="1521" w:type="dxa"/>
            <w:shd w:val="clear" w:color="auto" w:fill="auto"/>
            <w:tcMar>
              <w:top w:w="72" w:type="dxa"/>
              <w:left w:w="144" w:type="dxa"/>
              <w:bottom w:w="72" w:type="dxa"/>
              <w:right w:w="144" w:type="dxa"/>
            </w:tcMar>
          </w:tcPr>
          <w:p w14:paraId="6FF92699"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444A9C77" w14:textId="77777777" w:rsidR="005D63CD" w:rsidRPr="006064BC" w:rsidRDefault="005D63CD" w:rsidP="002A1AEF">
            <w:pPr>
              <w:contextualSpacing/>
              <w:jc w:val="center"/>
              <w:rPr>
                <w:szCs w:val="20"/>
              </w:rPr>
            </w:pPr>
            <w:r w:rsidRPr="006064BC">
              <w:rPr>
                <w:szCs w:val="20"/>
              </w:rPr>
              <w:sym w:font="Wingdings" w:char="F0FB"/>
            </w:r>
          </w:p>
        </w:tc>
        <w:tc>
          <w:tcPr>
            <w:tcW w:w="1418" w:type="dxa"/>
          </w:tcPr>
          <w:p w14:paraId="7D616CC0"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1D95F4B1" w14:textId="77777777" w:rsidR="005D63CD" w:rsidRPr="006064BC" w:rsidRDefault="005D63CD" w:rsidP="002A1AEF">
            <w:pPr>
              <w:contextualSpacing/>
              <w:jc w:val="center"/>
              <w:rPr>
                <w:szCs w:val="20"/>
              </w:rPr>
            </w:pPr>
            <w:r w:rsidRPr="006064BC">
              <w:rPr>
                <w:szCs w:val="20"/>
              </w:rPr>
              <w:sym w:font="Wingdings" w:char="F0FC"/>
            </w:r>
          </w:p>
        </w:tc>
        <w:tc>
          <w:tcPr>
            <w:tcW w:w="1744" w:type="dxa"/>
          </w:tcPr>
          <w:p w14:paraId="1CD8F65B" w14:textId="77777777" w:rsidR="005D63CD" w:rsidRPr="006064BC" w:rsidRDefault="005D63CD" w:rsidP="002A1AEF">
            <w:pPr>
              <w:contextualSpacing/>
              <w:jc w:val="center"/>
              <w:rPr>
                <w:szCs w:val="20"/>
              </w:rPr>
            </w:pPr>
            <w:r>
              <w:rPr>
                <w:sz w:val="21"/>
                <w:szCs w:val="21"/>
              </w:rPr>
              <w:t>†</w:t>
            </w:r>
          </w:p>
        </w:tc>
      </w:tr>
      <w:tr w:rsidR="005D63CD" w:rsidRPr="006064BC" w14:paraId="251BC2C8" w14:textId="77777777" w:rsidTr="002A1AEF">
        <w:trPr>
          <w:trHeight w:val="306"/>
          <w:jc w:val="center"/>
        </w:trPr>
        <w:tc>
          <w:tcPr>
            <w:tcW w:w="1151" w:type="dxa"/>
          </w:tcPr>
          <w:p w14:paraId="3C874542" w14:textId="77777777" w:rsidR="005D63CD" w:rsidRPr="006064BC" w:rsidRDefault="005D63CD" w:rsidP="002A1AEF">
            <w:pPr>
              <w:contextualSpacing/>
              <w:jc w:val="center"/>
              <w:rPr>
                <w:szCs w:val="20"/>
              </w:rPr>
            </w:pPr>
            <w:r w:rsidRPr="006064BC">
              <w:rPr>
                <w:szCs w:val="20"/>
              </w:rPr>
              <w:t>NB</w:t>
            </w:r>
          </w:p>
        </w:tc>
        <w:tc>
          <w:tcPr>
            <w:tcW w:w="1151" w:type="dxa"/>
          </w:tcPr>
          <w:p w14:paraId="2C78CAFF" w14:textId="77777777" w:rsidR="005D63CD" w:rsidRPr="006064BC" w:rsidRDefault="005D63CD" w:rsidP="002A1AEF">
            <w:pPr>
              <w:contextualSpacing/>
              <w:jc w:val="center"/>
              <w:rPr>
                <w:szCs w:val="20"/>
              </w:rPr>
            </w:pPr>
            <w:r w:rsidRPr="006064BC">
              <w:rPr>
                <w:szCs w:val="20"/>
              </w:rPr>
              <w:sym w:font="Wingdings" w:char="F0FC"/>
            </w:r>
          </w:p>
        </w:tc>
        <w:tc>
          <w:tcPr>
            <w:tcW w:w="1521" w:type="dxa"/>
            <w:shd w:val="clear" w:color="auto" w:fill="auto"/>
            <w:tcMar>
              <w:top w:w="72" w:type="dxa"/>
              <w:left w:w="144" w:type="dxa"/>
              <w:bottom w:w="72" w:type="dxa"/>
              <w:right w:w="144" w:type="dxa"/>
            </w:tcMar>
          </w:tcPr>
          <w:p w14:paraId="31106032"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5C47238C" w14:textId="77777777" w:rsidR="005D63CD" w:rsidRPr="006064BC" w:rsidRDefault="005D63CD" w:rsidP="002A1AEF">
            <w:pPr>
              <w:contextualSpacing/>
              <w:jc w:val="center"/>
              <w:rPr>
                <w:szCs w:val="20"/>
              </w:rPr>
            </w:pPr>
            <w:r w:rsidRPr="006064BC">
              <w:rPr>
                <w:szCs w:val="20"/>
              </w:rPr>
              <w:sym w:font="Wingdings" w:char="F0FB"/>
            </w:r>
          </w:p>
        </w:tc>
        <w:tc>
          <w:tcPr>
            <w:tcW w:w="1418" w:type="dxa"/>
          </w:tcPr>
          <w:p w14:paraId="302B9358"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12C05683" w14:textId="77777777" w:rsidR="005D63CD" w:rsidRPr="006064BC" w:rsidRDefault="005D63CD" w:rsidP="002A1AEF">
            <w:pPr>
              <w:contextualSpacing/>
              <w:jc w:val="center"/>
              <w:rPr>
                <w:szCs w:val="20"/>
              </w:rPr>
            </w:pPr>
            <w:r w:rsidRPr="00C25E4F">
              <w:rPr>
                <w:sz w:val="21"/>
                <w:szCs w:val="21"/>
              </w:rPr>
              <w:sym w:font="Wingdings" w:char="F0FB"/>
            </w:r>
          </w:p>
        </w:tc>
        <w:tc>
          <w:tcPr>
            <w:tcW w:w="1744" w:type="dxa"/>
          </w:tcPr>
          <w:p w14:paraId="77C39443" w14:textId="77777777" w:rsidR="005D63CD" w:rsidRPr="006064BC" w:rsidRDefault="005D63CD" w:rsidP="002A1AEF">
            <w:pPr>
              <w:contextualSpacing/>
              <w:jc w:val="center"/>
              <w:rPr>
                <w:szCs w:val="20"/>
              </w:rPr>
            </w:pPr>
            <w:r>
              <w:rPr>
                <w:szCs w:val="20"/>
              </w:rPr>
              <w:sym w:font="Wingdings" w:char="F0FC"/>
            </w:r>
          </w:p>
        </w:tc>
      </w:tr>
      <w:tr w:rsidR="005D63CD" w:rsidRPr="006064BC" w14:paraId="034C1D2D" w14:textId="77777777" w:rsidTr="002A1AEF">
        <w:trPr>
          <w:trHeight w:val="306"/>
          <w:jc w:val="center"/>
        </w:trPr>
        <w:tc>
          <w:tcPr>
            <w:tcW w:w="1151" w:type="dxa"/>
          </w:tcPr>
          <w:p w14:paraId="350C309F" w14:textId="77777777" w:rsidR="005D63CD" w:rsidRPr="006064BC" w:rsidRDefault="005D63CD" w:rsidP="002A1AEF">
            <w:pPr>
              <w:contextualSpacing/>
              <w:jc w:val="center"/>
              <w:rPr>
                <w:szCs w:val="20"/>
              </w:rPr>
            </w:pPr>
            <w:r w:rsidRPr="006064BC">
              <w:rPr>
                <w:szCs w:val="20"/>
              </w:rPr>
              <w:t>NL</w:t>
            </w:r>
          </w:p>
        </w:tc>
        <w:tc>
          <w:tcPr>
            <w:tcW w:w="1151" w:type="dxa"/>
          </w:tcPr>
          <w:p w14:paraId="2FB225EB" w14:textId="77777777" w:rsidR="005D63CD" w:rsidRPr="006064BC" w:rsidRDefault="005D63CD" w:rsidP="002A1AEF">
            <w:pPr>
              <w:contextualSpacing/>
              <w:jc w:val="center"/>
              <w:rPr>
                <w:szCs w:val="20"/>
              </w:rPr>
            </w:pPr>
            <w:r w:rsidRPr="006064BC">
              <w:rPr>
                <w:szCs w:val="20"/>
              </w:rPr>
              <w:sym w:font="Wingdings" w:char="F0FC"/>
            </w:r>
          </w:p>
        </w:tc>
        <w:tc>
          <w:tcPr>
            <w:tcW w:w="1521" w:type="dxa"/>
            <w:shd w:val="clear" w:color="auto" w:fill="auto"/>
            <w:tcMar>
              <w:top w:w="72" w:type="dxa"/>
              <w:left w:w="144" w:type="dxa"/>
              <w:bottom w:w="72" w:type="dxa"/>
              <w:right w:w="144" w:type="dxa"/>
            </w:tcMar>
          </w:tcPr>
          <w:p w14:paraId="60658043"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30F666A7" w14:textId="77777777" w:rsidR="005D63CD" w:rsidRPr="006064BC" w:rsidRDefault="005D63CD" w:rsidP="002A1AEF">
            <w:pPr>
              <w:contextualSpacing/>
              <w:jc w:val="center"/>
              <w:rPr>
                <w:szCs w:val="20"/>
              </w:rPr>
            </w:pPr>
            <w:r w:rsidRPr="006064BC">
              <w:rPr>
                <w:szCs w:val="20"/>
              </w:rPr>
              <w:sym w:font="Wingdings" w:char="F0FB"/>
            </w:r>
          </w:p>
        </w:tc>
        <w:tc>
          <w:tcPr>
            <w:tcW w:w="1418" w:type="dxa"/>
          </w:tcPr>
          <w:p w14:paraId="77CCE61D"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0AA4D163" w14:textId="77777777" w:rsidR="005D63CD" w:rsidRPr="006064BC" w:rsidRDefault="005D63CD" w:rsidP="002A1AEF">
            <w:pPr>
              <w:contextualSpacing/>
              <w:jc w:val="center"/>
              <w:rPr>
                <w:szCs w:val="20"/>
              </w:rPr>
            </w:pPr>
            <w:r w:rsidRPr="006064BC">
              <w:rPr>
                <w:szCs w:val="20"/>
              </w:rPr>
              <w:sym w:font="Wingdings" w:char="F0FB"/>
            </w:r>
          </w:p>
        </w:tc>
        <w:tc>
          <w:tcPr>
            <w:tcW w:w="1744" w:type="dxa"/>
          </w:tcPr>
          <w:p w14:paraId="70017756" w14:textId="77777777" w:rsidR="005D63CD" w:rsidRPr="006064BC" w:rsidRDefault="005D63CD" w:rsidP="002A1AEF">
            <w:pPr>
              <w:contextualSpacing/>
              <w:jc w:val="center"/>
              <w:rPr>
                <w:szCs w:val="20"/>
              </w:rPr>
            </w:pPr>
            <w:r>
              <w:rPr>
                <w:sz w:val="21"/>
                <w:szCs w:val="21"/>
              </w:rPr>
              <w:t>†</w:t>
            </w:r>
          </w:p>
        </w:tc>
      </w:tr>
      <w:tr w:rsidR="005D63CD" w:rsidRPr="006064BC" w14:paraId="6C247D9F" w14:textId="77777777" w:rsidTr="002A1AEF">
        <w:trPr>
          <w:trHeight w:val="306"/>
          <w:jc w:val="center"/>
        </w:trPr>
        <w:tc>
          <w:tcPr>
            <w:tcW w:w="1151" w:type="dxa"/>
          </w:tcPr>
          <w:p w14:paraId="1A07EF70" w14:textId="77777777" w:rsidR="005D63CD" w:rsidRPr="006064BC" w:rsidRDefault="005D63CD" w:rsidP="002A1AEF">
            <w:pPr>
              <w:contextualSpacing/>
              <w:jc w:val="center"/>
              <w:rPr>
                <w:szCs w:val="20"/>
              </w:rPr>
            </w:pPr>
            <w:r w:rsidRPr="006064BC">
              <w:rPr>
                <w:szCs w:val="20"/>
              </w:rPr>
              <w:t>PEI</w:t>
            </w:r>
          </w:p>
        </w:tc>
        <w:tc>
          <w:tcPr>
            <w:tcW w:w="1151" w:type="dxa"/>
          </w:tcPr>
          <w:p w14:paraId="3D7955FC" w14:textId="77777777" w:rsidR="005D63CD" w:rsidRPr="006064BC" w:rsidRDefault="005D63CD" w:rsidP="002A1AEF">
            <w:pPr>
              <w:contextualSpacing/>
              <w:jc w:val="center"/>
              <w:rPr>
                <w:szCs w:val="20"/>
              </w:rPr>
            </w:pPr>
            <w:r w:rsidRPr="006064BC">
              <w:rPr>
                <w:szCs w:val="20"/>
              </w:rPr>
              <w:sym w:font="Wingdings" w:char="F0FC"/>
            </w:r>
          </w:p>
        </w:tc>
        <w:tc>
          <w:tcPr>
            <w:tcW w:w="1521" w:type="dxa"/>
            <w:shd w:val="clear" w:color="auto" w:fill="auto"/>
            <w:tcMar>
              <w:top w:w="72" w:type="dxa"/>
              <w:left w:w="144" w:type="dxa"/>
              <w:bottom w:w="72" w:type="dxa"/>
              <w:right w:w="144" w:type="dxa"/>
            </w:tcMar>
          </w:tcPr>
          <w:p w14:paraId="72E47B29"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4255D333" w14:textId="77777777" w:rsidR="005D63CD" w:rsidRPr="006064BC" w:rsidRDefault="005D63CD" w:rsidP="002A1AEF">
            <w:pPr>
              <w:contextualSpacing/>
              <w:jc w:val="center"/>
              <w:rPr>
                <w:szCs w:val="20"/>
              </w:rPr>
            </w:pPr>
            <w:r w:rsidRPr="006064BC">
              <w:rPr>
                <w:szCs w:val="20"/>
              </w:rPr>
              <w:sym w:font="Wingdings" w:char="F0FB"/>
            </w:r>
          </w:p>
        </w:tc>
        <w:tc>
          <w:tcPr>
            <w:tcW w:w="1418" w:type="dxa"/>
          </w:tcPr>
          <w:p w14:paraId="71941661" w14:textId="77777777" w:rsidR="005D63CD" w:rsidRPr="006064BC" w:rsidRDefault="005D63CD" w:rsidP="002A1AEF">
            <w:pPr>
              <w:contextualSpacing/>
              <w:jc w:val="center"/>
              <w:rPr>
                <w:szCs w:val="20"/>
              </w:rPr>
            </w:pPr>
            <w:r w:rsidRPr="006064BC">
              <w:rPr>
                <w:szCs w:val="20"/>
              </w:rPr>
              <w:sym w:font="Wingdings" w:char="F0FC"/>
            </w:r>
          </w:p>
        </w:tc>
        <w:tc>
          <w:tcPr>
            <w:tcW w:w="1417" w:type="dxa"/>
          </w:tcPr>
          <w:p w14:paraId="592B72AF" w14:textId="77777777" w:rsidR="005D63CD" w:rsidRDefault="005D63CD" w:rsidP="002A1AEF">
            <w:pPr>
              <w:contextualSpacing/>
              <w:jc w:val="center"/>
              <w:rPr>
                <w:sz w:val="21"/>
                <w:szCs w:val="21"/>
              </w:rPr>
            </w:pPr>
            <w:r w:rsidRPr="006064BC">
              <w:rPr>
                <w:szCs w:val="20"/>
              </w:rPr>
              <w:sym w:font="Wingdings" w:char="F0FB"/>
            </w:r>
          </w:p>
        </w:tc>
        <w:tc>
          <w:tcPr>
            <w:tcW w:w="1744" w:type="dxa"/>
          </w:tcPr>
          <w:p w14:paraId="72DB8FB1" w14:textId="77777777" w:rsidR="005D63CD" w:rsidRDefault="005D63CD" w:rsidP="002A1AEF">
            <w:pPr>
              <w:contextualSpacing/>
              <w:jc w:val="center"/>
              <w:rPr>
                <w:sz w:val="21"/>
                <w:szCs w:val="21"/>
              </w:rPr>
            </w:pPr>
            <w:r>
              <w:rPr>
                <w:sz w:val="21"/>
                <w:szCs w:val="21"/>
              </w:rPr>
              <w:t>†</w:t>
            </w:r>
          </w:p>
        </w:tc>
      </w:tr>
    </w:tbl>
    <w:p w14:paraId="4EF43492" w14:textId="77777777" w:rsidR="005D63CD" w:rsidRDefault="005D63CD" w:rsidP="005D63CD">
      <w:pPr>
        <w:spacing w:after="0"/>
        <w:ind w:left="720"/>
      </w:pPr>
    </w:p>
    <w:p w14:paraId="0991AFF7" w14:textId="77777777" w:rsidR="005D63CD" w:rsidRDefault="005D63CD" w:rsidP="005D63CD">
      <w:pPr>
        <w:pStyle w:val="ListParagraph"/>
        <w:spacing w:after="0"/>
        <w:ind w:left="1080"/>
      </w:pPr>
      <w:r w:rsidRPr="00ED1A1A">
        <w:rPr>
          <w:vertAlign w:val="superscript"/>
        </w:rPr>
        <w:t>1</w:t>
      </w:r>
      <w:r>
        <w:t xml:space="preserve">As </w:t>
      </w:r>
      <w:r w:rsidRPr="00D86B62">
        <w:t xml:space="preserve">maintenance therapy after first-line chemotherapy   </w:t>
      </w:r>
    </w:p>
    <w:p w14:paraId="351851ED" w14:textId="77777777" w:rsidR="005D63CD" w:rsidRDefault="005D63CD" w:rsidP="005D63CD">
      <w:pPr>
        <w:pStyle w:val="ListParagraph"/>
        <w:spacing w:after="0"/>
        <w:ind w:left="1080"/>
      </w:pPr>
    </w:p>
    <w:p w14:paraId="010BB79C" w14:textId="77777777" w:rsidR="005D63CD" w:rsidRDefault="005D63CD" w:rsidP="005D63CD">
      <w:pPr>
        <w:tabs>
          <w:tab w:val="left" w:pos="720"/>
          <w:tab w:val="left" w:pos="1440"/>
          <w:tab w:val="left" w:pos="2160"/>
          <w:tab w:val="left" w:pos="2880"/>
          <w:tab w:val="left" w:pos="3600"/>
          <w:tab w:val="left" w:pos="4320"/>
          <w:tab w:val="center" w:pos="6120"/>
        </w:tabs>
        <w:ind w:left="1080"/>
        <w:contextualSpacing/>
        <w:rPr>
          <w:sz w:val="21"/>
          <w:szCs w:val="21"/>
        </w:rPr>
      </w:pPr>
      <w:r w:rsidRPr="00C25E4F">
        <w:rPr>
          <w:sz w:val="21"/>
          <w:szCs w:val="21"/>
        </w:rPr>
        <w:sym w:font="Wingdings" w:char="F0FC"/>
      </w:r>
      <w:r>
        <w:rPr>
          <w:sz w:val="21"/>
          <w:szCs w:val="21"/>
        </w:rPr>
        <w:t xml:space="preserve"> Funded</w:t>
      </w:r>
      <w:r>
        <w:rPr>
          <w:sz w:val="21"/>
          <w:szCs w:val="21"/>
        </w:rPr>
        <w:tab/>
      </w:r>
      <w:r w:rsidRPr="00C25E4F">
        <w:rPr>
          <w:sz w:val="21"/>
          <w:szCs w:val="21"/>
        </w:rPr>
        <w:sym w:font="Wingdings" w:char="F0FB"/>
      </w:r>
      <w:r>
        <w:rPr>
          <w:sz w:val="21"/>
          <w:szCs w:val="21"/>
        </w:rPr>
        <w:t xml:space="preserve"> Not funded </w:t>
      </w:r>
      <w:r>
        <w:rPr>
          <w:sz w:val="21"/>
          <w:szCs w:val="21"/>
        </w:rPr>
        <w:tab/>
        <w:t xml:space="preserve">  †Under Provincial Consideration (decision not yet made) </w:t>
      </w:r>
    </w:p>
    <w:p w14:paraId="398F8C3A" w14:textId="77777777" w:rsidR="005D63CD" w:rsidRDefault="005D63CD" w:rsidP="005D63CD">
      <w:pPr>
        <w:tabs>
          <w:tab w:val="left" w:pos="720"/>
          <w:tab w:val="left" w:pos="1440"/>
          <w:tab w:val="left" w:pos="2160"/>
          <w:tab w:val="left" w:pos="2880"/>
          <w:tab w:val="left" w:pos="3600"/>
          <w:tab w:val="left" w:pos="4320"/>
          <w:tab w:val="center" w:pos="6120"/>
        </w:tabs>
        <w:ind w:left="1080"/>
        <w:contextualSpacing/>
        <w:rPr>
          <w:sz w:val="21"/>
          <w:szCs w:val="21"/>
        </w:rPr>
      </w:pPr>
      <w:r>
        <w:rPr>
          <w:sz w:val="21"/>
          <w:szCs w:val="21"/>
        </w:rPr>
        <w:t>‡ Under Manufacturer Negotiation</w:t>
      </w:r>
    </w:p>
    <w:p w14:paraId="23745114" w14:textId="785506BE" w:rsidR="005D63CD" w:rsidRDefault="005D63CD">
      <w:pPr>
        <w:rPr>
          <w:rFonts w:ascii="Arial" w:hAnsi="Arial" w:cs="Arial"/>
          <w:sz w:val="18"/>
          <w:szCs w:val="18"/>
        </w:rPr>
      </w:pPr>
      <w:r>
        <w:rPr>
          <w:rFonts w:ascii="Arial" w:hAnsi="Arial" w:cs="Arial"/>
          <w:sz w:val="18"/>
          <w:szCs w:val="18"/>
        </w:rPr>
        <w:br w:type="page"/>
      </w:r>
    </w:p>
    <w:p w14:paraId="70F09A56" w14:textId="77777777" w:rsidR="005A28E8" w:rsidRDefault="005A28E8">
      <w:pPr>
        <w:rPr>
          <w:rFonts w:ascii="Arial" w:hAnsi="Arial" w:cs="Arial"/>
          <w:sz w:val="18"/>
          <w:szCs w:val="18"/>
        </w:rPr>
      </w:pPr>
    </w:p>
    <w:p w14:paraId="14D84E58" w14:textId="77777777" w:rsidR="005D63CD" w:rsidRDefault="005D63CD" w:rsidP="00905A3F">
      <w:pPr>
        <w:spacing w:after="0"/>
        <w:ind w:left="720"/>
        <w:jc w:val="center"/>
      </w:pPr>
      <w:r>
        <w:t>For Second-line Treatment</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left w:w="85" w:type="dxa"/>
          <w:bottom w:w="85" w:type="dxa"/>
          <w:right w:w="85" w:type="dxa"/>
        </w:tblCellMar>
        <w:tblLook w:val="04A0" w:firstRow="1" w:lastRow="0" w:firstColumn="1" w:lastColumn="0" w:noHBand="0" w:noVBand="1"/>
      </w:tblPr>
      <w:tblGrid>
        <w:gridCol w:w="445"/>
        <w:gridCol w:w="1000"/>
        <w:gridCol w:w="1429"/>
        <w:gridCol w:w="1100"/>
        <w:gridCol w:w="1306"/>
        <w:gridCol w:w="1154"/>
        <w:gridCol w:w="986"/>
        <w:gridCol w:w="1011"/>
        <w:gridCol w:w="1075"/>
        <w:gridCol w:w="1262"/>
      </w:tblGrid>
      <w:tr w:rsidR="005D63CD" w:rsidRPr="006064BC" w14:paraId="1D384446" w14:textId="77777777" w:rsidTr="005D63CD">
        <w:trPr>
          <w:trHeight w:val="198"/>
          <w:jc w:val="center"/>
        </w:trPr>
        <w:tc>
          <w:tcPr>
            <w:tcW w:w="216" w:type="pct"/>
            <w:shd w:val="clear" w:color="auto" w:fill="F2F2F2" w:themeFill="background1" w:themeFillShade="F2"/>
          </w:tcPr>
          <w:p w14:paraId="49425252" w14:textId="77777777" w:rsidR="005D63CD" w:rsidRPr="006064BC" w:rsidRDefault="005D63CD" w:rsidP="002A1AEF">
            <w:pPr>
              <w:contextualSpacing/>
              <w:jc w:val="center"/>
              <w:rPr>
                <w:b/>
                <w:bCs/>
                <w:szCs w:val="20"/>
              </w:rPr>
            </w:pPr>
          </w:p>
        </w:tc>
        <w:tc>
          <w:tcPr>
            <w:tcW w:w="502" w:type="pct"/>
            <w:shd w:val="clear" w:color="auto" w:fill="F2F2F2" w:themeFill="background1" w:themeFillShade="F2"/>
          </w:tcPr>
          <w:p w14:paraId="105CF127" w14:textId="77777777" w:rsidR="005D63CD" w:rsidRPr="006064BC" w:rsidRDefault="005D63CD" w:rsidP="002A1AEF">
            <w:pPr>
              <w:contextualSpacing/>
              <w:jc w:val="center"/>
              <w:rPr>
                <w:b/>
                <w:bCs/>
                <w:szCs w:val="20"/>
              </w:rPr>
            </w:pPr>
            <w:r>
              <w:rPr>
                <w:b/>
                <w:bCs/>
                <w:szCs w:val="20"/>
              </w:rPr>
              <w:t>Platinum doublet</w:t>
            </w:r>
          </w:p>
        </w:tc>
        <w:tc>
          <w:tcPr>
            <w:tcW w:w="563" w:type="pct"/>
            <w:shd w:val="clear" w:color="auto" w:fill="F2F2F2" w:themeFill="background1" w:themeFillShade="F2"/>
            <w:tcMar>
              <w:top w:w="72" w:type="dxa"/>
              <w:left w:w="144" w:type="dxa"/>
              <w:bottom w:w="72" w:type="dxa"/>
              <w:right w:w="144" w:type="dxa"/>
            </w:tcMar>
          </w:tcPr>
          <w:p w14:paraId="589C2515" w14:textId="77777777" w:rsidR="005D63CD" w:rsidRPr="006064BC" w:rsidRDefault="005D63CD" w:rsidP="002A1AEF">
            <w:pPr>
              <w:contextualSpacing/>
              <w:jc w:val="center"/>
              <w:rPr>
                <w:b/>
                <w:bCs/>
                <w:szCs w:val="20"/>
              </w:rPr>
            </w:pPr>
            <w:r>
              <w:rPr>
                <w:b/>
                <w:bCs/>
                <w:szCs w:val="20"/>
              </w:rPr>
              <w:t>Pemetrexed</w:t>
            </w:r>
          </w:p>
        </w:tc>
        <w:tc>
          <w:tcPr>
            <w:tcW w:w="479" w:type="pct"/>
            <w:shd w:val="clear" w:color="auto" w:fill="F2F2F2" w:themeFill="background1" w:themeFillShade="F2"/>
          </w:tcPr>
          <w:p w14:paraId="79476E24" w14:textId="77777777" w:rsidR="005D63CD" w:rsidRDefault="005D63CD" w:rsidP="002A1AEF">
            <w:pPr>
              <w:contextualSpacing/>
              <w:jc w:val="center"/>
              <w:rPr>
                <w:b/>
                <w:bCs/>
                <w:szCs w:val="20"/>
              </w:rPr>
            </w:pPr>
            <w:r>
              <w:rPr>
                <w:b/>
                <w:bCs/>
                <w:szCs w:val="20"/>
              </w:rPr>
              <w:t>Docetaxel</w:t>
            </w:r>
          </w:p>
        </w:tc>
        <w:tc>
          <w:tcPr>
            <w:tcW w:w="539" w:type="pct"/>
            <w:shd w:val="clear" w:color="auto" w:fill="F2F2F2" w:themeFill="background1" w:themeFillShade="F2"/>
          </w:tcPr>
          <w:p w14:paraId="44596146" w14:textId="77777777" w:rsidR="005D63CD" w:rsidRDefault="005D63CD" w:rsidP="002A1AEF">
            <w:pPr>
              <w:contextualSpacing/>
              <w:jc w:val="center"/>
              <w:rPr>
                <w:b/>
                <w:bCs/>
                <w:szCs w:val="20"/>
              </w:rPr>
            </w:pPr>
            <w:r>
              <w:rPr>
                <w:b/>
                <w:bCs/>
                <w:szCs w:val="20"/>
              </w:rPr>
              <w:t>Pembrolizu-mab</w:t>
            </w:r>
          </w:p>
        </w:tc>
        <w:tc>
          <w:tcPr>
            <w:tcW w:w="539" w:type="pct"/>
            <w:shd w:val="clear" w:color="auto" w:fill="F2F2F2" w:themeFill="background1" w:themeFillShade="F2"/>
          </w:tcPr>
          <w:p w14:paraId="33F5A08F" w14:textId="77777777" w:rsidR="005D63CD" w:rsidRDefault="005D63CD" w:rsidP="002A1AEF">
            <w:pPr>
              <w:contextualSpacing/>
              <w:jc w:val="center"/>
              <w:rPr>
                <w:b/>
                <w:bCs/>
                <w:szCs w:val="20"/>
              </w:rPr>
            </w:pPr>
            <w:r>
              <w:rPr>
                <w:b/>
                <w:bCs/>
                <w:szCs w:val="20"/>
              </w:rPr>
              <w:t>Nivolumab</w:t>
            </w:r>
          </w:p>
        </w:tc>
        <w:tc>
          <w:tcPr>
            <w:tcW w:w="539" w:type="pct"/>
            <w:shd w:val="clear" w:color="auto" w:fill="F2F2F2" w:themeFill="background1" w:themeFillShade="F2"/>
          </w:tcPr>
          <w:p w14:paraId="711D5787" w14:textId="34F62513" w:rsidR="005D63CD" w:rsidRPr="006064BC" w:rsidRDefault="005D63CD" w:rsidP="002A1AEF">
            <w:pPr>
              <w:contextualSpacing/>
              <w:jc w:val="center"/>
              <w:rPr>
                <w:b/>
                <w:bCs/>
                <w:szCs w:val="20"/>
              </w:rPr>
            </w:pPr>
            <w:r w:rsidRPr="006064BC">
              <w:rPr>
                <w:b/>
                <w:bCs/>
                <w:szCs w:val="20"/>
              </w:rPr>
              <w:t>Gefitin</w:t>
            </w:r>
            <w:r w:rsidR="00D52F9F">
              <w:rPr>
                <w:b/>
                <w:bCs/>
                <w:szCs w:val="20"/>
              </w:rPr>
              <w:t>i</w:t>
            </w:r>
            <w:r w:rsidRPr="006064BC">
              <w:rPr>
                <w:b/>
                <w:bCs/>
                <w:szCs w:val="20"/>
              </w:rPr>
              <w:t>b</w:t>
            </w:r>
          </w:p>
          <w:p w14:paraId="0DB3BE1F" w14:textId="77777777" w:rsidR="005D63CD" w:rsidRPr="006064BC" w:rsidRDefault="005D63CD" w:rsidP="002A1AEF">
            <w:pPr>
              <w:contextualSpacing/>
              <w:jc w:val="center"/>
              <w:rPr>
                <w:b/>
                <w:szCs w:val="20"/>
              </w:rPr>
            </w:pPr>
            <w:r>
              <w:rPr>
                <w:b/>
                <w:bCs/>
                <w:szCs w:val="20"/>
              </w:rPr>
              <w:t>(for EGFR</w:t>
            </w:r>
            <w:r w:rsidRPr="006064BC">
              <w:rPr>
                <w:b/>
                <w:bCs/>
                <w:szCs w:val="20"/>
              </w:rPr>
              <w:t>+)</w:t>
            </w:r>
          </w:p>
        </w:tc>
        <w:tc>
          <w:tcPr>
            <w:tcW w:w="539" w:type="pct"/>
            <w:shd w:val="clear" w:color="auto" w:fill="F2F2F2" w:themeFill="background1" w:themeFillShade="F2"/>
          </w:tcPr>
          <w:p w14:paraId="43916A47" w14:textId="77777777" w:rsidR="005D63CD" w:rsidRPr="006064BC" w:rsidRDefault="005D63CD" w:rsidP="002A1AEF">
            <w:pPr>
              <w:contextualSpacing/>
              <w:jc w:val="center"/>
              <w:rPr>
                <w:b/>
                <w:szCs w:val="20"/>
              </w:rPr>
            </w:pPr>
            <w:r w:rsidRPr="006064BC">
              <w:rPr>
                <w:b/>
                <w:szCs w:val="20"/>
              </w:rPr>
              <w:t>Afatinib</w:t>
            </w:r>
          </w:p>
          <w:p w14:paraId="3CA6F66B" w14:textId="77777777" w:rsidR="005D63CD" w:rsidRPr="006064BC" w:rsidRDefault="005D63CD" w:rsidP="002A1AEF">
            <w:pPr>
              <w:contextualSpacing/>
              <w:jc w:val="center"/>
              <w:rPr>
                <w:b/>
                <w:bCs/>
                <w:szCs w:val="20"/>
              </w:rPr>
            </w:pPr>
            <w:r w:rsidRPr="006064BC">
              <w:rPr>
                <w:b/>
                <w:bCs/>
                <w:szCs w:val="20"/>
              </w:rPr>
              <w:t>(for EGFR+)</w:t>
            </w:r>
          </w:p>
        </w:tc>
        <w:tc>
          <w:tcPr>
            <w:tcW w:w="539" w:type="pct"/>
            <w:shd w:val="clear" w:color="auto" w:fill="F2F2F2" w:themeFill="background1" w:themeFillShade="F2"/>
          </w:tcPr>
          <w:p w14:paraId="6C482B6E" w14:textId="77777777" w:rsidR="005D63CD" w:rsidRPr="006064BC" w:rsidRDefault="005D63CD" w:rsidP="002A1AEF">
            <w:pPr>
              <w:contextualSpacing/>
              <w:jc w:val="center"/>
              <w:rPr>
                <w:b/>
                <w:bCs/>
                <w:szCs w:val="20"/>
              </w:rPr>
            </w:pPr>
            <w:r w:rsidRPr="006064BC">
              <w:rPr>
                <w:b/>
                <w:bCs/>
                <w:szCs w:val="20"/>
              </w:rPr>
              <w:t>Erlotinib</w:t>
            </w:r>
            <w:r>
              <w:rPr>
                <w:szCs w:val="20"/>
                <w:vertAlign w:val="superscript"/>
              </w:rPr>
              <w:t>2</w:t>
            </w:r>
          </w:p>
          <w:p w14:paraId="27B6FC85" w14:textId="77777777" w:rsidR="005D63CD" w:rsidRPr="006064BC" w:rsidRDefault="005D63CD" w:rsidP="002A1AEF">
            <w:pPr>
              <w:contextualSpacing/>
              <w:jc w:val="center"/>
              <w:rPr>
                <w:b/>
                <w:bCs/>
                <w:szCs w:val="20"/>
              </w:rPr>
            </w:pPr>
            <w:r w:rsidRPr="006064BC">
              <w:rPr>
                <w:b/>
                <w:bCs/>
                <w:szCs w:val="20"/>
              </w:rPr>
              <w:t>(for EGFR+)</w:t>
            </w:r>
          </w:p>
        </w:tc>
        <w:tc>
          <w:tcPr>
            <w:tcW w:w="543" w:type="pct"/>
            <w:shd w:val="clear" w:color="auto" w:fill="F2F2F2" w:themeFill="background1" w:themeFillShade="F2"/>
          </w:tcPr>
          <w:p w14:paraId="320240FA" w14:textId="77777777" w:rsidR="005D63CD" w:rsidRDefault="005D63CD" w:rsidP="002A1AEF">
            <w:pPr>
              <w:contextualSpacing/>
              <w:jc w:val="center"/>
              <w:rPr>
                <w:b/>
                <w:bCs/>
                <w:szCs w:val="20"/>
              </w:rPr>
            </w:pPr>
            <w:r>
              <w:rPr>
                <w:b/>
                <w:bCs/>
                <w:szCs w:val="20"/>
              </w:rPr>
              <w:t>Osimertinib</w:t>
            </w:r>
          </w:p>
          <w:p w14:paraId="1B837550" w14:textId="77777777" w:rsidR="005D63CD" w:rsidRDefault="005D63CD" w:rsidP="002A1AEF">
            <w:pPr>
              <w:contextualSpacing/>
              <w:jc w:val="center"/>
              <w:rPr>
                <w:b/>
                <w:bCs/>
                <w:szCs w:val="20"/>
              </w:rPr>
            </w:pPr>
            <w:r>
              <w:rPr>
                <w:b/>
                <w:bCs/>
                <w:szCs w:val="20"/>
              </w:rPr>
              <w:t>(T790m)</w:t>
            </w:r>
          </w:p>
        </w:tc>
      </w:tr>
      <w:tr w:rsidR="005D63CD" w:rsidRPr="006064BC" w14:paraId="7F82839C" w14:textId="77777777" w:rsidTr="005D63CD">
        <w:trPr>
          <w:trHeight w:val="306"/>
          <w:jc w:val="center"/>
        </w:trPr>
        <w:tc>
          <w:tcPr>
            <w:tcW w:w="216" w:type="pct"/>
          </w:tcPr>
          <w:p w14:paraId="129FEC7A" w14:textId="77777777" w:rsidR="005D63CD" w:rsidRPr="006064BC" w:rsidRDefault="005D63CD" w:rsidP="002A1AEF">
            <w:pPr>
              <w:contextualSpacing/>
              <w:jc w:val="center"/>
              <w:rPr>
                <w:szCs w:val="20"/>
              </w:rPr>
            </w:pPr>
            <w:r w:rsidRPr="006064BC">
              <w:rPr>
                <w:szCs w:val="20"/>
              </w:rPr>
              <w:t>BC</w:t>
            </w:r>
          </w:p>
        </w:tc>
        <w:tc>
          <w:tcPr>
            <w:tcW w:w="502" w:type="pct"/>
          </w:tcPr>
          <w:p w14:paraId="1C3FBCE5" w14:textId="77777777" w:rsidR="005D63CD" w:rsidRPr="006064BC" w:rsidRDefault="005D63CD" w:rsidP="002A1AEF">
            <w:pPr>
              <w:contextualSpacing/>
              <w:jc w:val="center"/>
              <w:rPr>
                <w:szCs w:val="20"/>
              </w:rPr>
            </w:pPr>
            <w:r w:rsidRPr="006064BC">
              <w:rPr>
                <w:szCs w:val="20"/>
              </w:rPr>
              <w:sym w:font="Wingdings" w:char="F0FC"/>
            </w:r>
          </w:p>
        </w:tc>
        <w:tc>
          <w:tcPr>
            <w:tcW w:w="563" w:type="pct"/>
            <w:shd w:val="clear" w:color="auto" w:fill="auto"/>
            <w:tcMar>
              <w:top w:w="72" w:type="dxa"/>
              <w:left w:w="144" w:type="dxa"/>
              <w:bottom w:w="72" w:type="dxa"/>
              <w:right w:w="144" w:type="dxa"/>
            </w:tcMar>
          </w:tcPr>
          <w:p w14:paraId="543E55FC" w14:textId="77777777" w:rsidR="005D63CD" w:rsidRPr="006064BC" w:rsidRDefault="005D63CD" w:rsidP="002A1AEF">
            <w:pPr>
              <w:contextualSpacing/>
              <w:jc w:val="center"/>
              <w:rPr>
                <w:szCs w:val="20"/>
              </w:rPr>
            </w:pPr>
            <w:r w:rsidRPr="006064BC">
              <w:rPr>
                <w:szCs w:val="20"/>
              </w:rPr>
              <w:sym w:font="Wingdings" w:char="F0FC"/>
            </w:r>
          </w:p>
        </w:tc>
        <w:tc>
          <w:tcPr>
            <w:tcW w:w="479" w:type="pct"/>
          </w:tcPr>
          <w:p w14:paraId="7675989C"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186C8060"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1585A557"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4324B281" w14:textId="77777777" w:rsidR="005D63CD" w:rsidRPr="006064BC" w:rsidRDefault="005D63CD" w:rsidP="002A1AEF">
            <w:pPr>
              <w:contextualSpacing/>
              <w:jc w:val="center"/>
              <w:rPr>
                <w:szCs w:val="20"/>
              </w:rPr>
            </w:pPr>
            <w:r w:rsidRPr="00C25E4F">
              <w:rPr>
                <w:sz w:val="21"/>
                <w:szCs w:val="21"/>
              </w:rPr>
              <w:sym w:font="Wingdings" w:char="F0FB"/>
            </w:r>
          </w:p>
        </w:tc>
        <w:tc>
          <w:tcPr>
            <w:tcW w:w="539" w:type="pct"/>
          </w:tcPr>
          <w:p w14:paraId="71E0C5AB" w14:textId="77777777" w:rsidR="005D63CD" w:rsidRPr="006064BC" w:rsidRDefault="005D63CD" w:rsidP="002A1AEF">
            <w:pPr>
              <w:contextualSpacing/>
              <w:jc w:val="center"/>
              <w:rPr>
                <w:szCs w:val="20"/>
              </w:rPr>
            </w:pPr>
            <w:r w:rsidRPr="00C25E4F">
              <w:rPr>
                <w:sz w:val="21"/>
                <w:szCs w:val="21"/>
              </w:rPr>
              <w:sym w:font="Wingdings" w:char="F0FB"/>
            </w:r>
          </w:p>
        </w:tc>
        <w:tc>
          <w:tcPr>
            <w:tcW w:w="539" w:type="pct"/>
          </w:tcPr>
          <w:p w14:paraId="570C23E9" w14:textId="77777777" w:rsidR="005D63CD" w:rsidRPr="006064BC" w:rsidRDefault="005D63CD" w:rsidP="002A1AEF">
            <w:pPr>
              <w:contextualSpacing/>
              <w:jc w:val="center"/>
              <w:rPr>
                <w:szCs w:val="20"/>
              </w:rPr>
            </w:pPr>
            <w:r w:rsidRPr="006064BC">
              <w:rPr>
                <w:szCs w:val="20"/>
              </w:rPr>
              <w:sym w:font="Wingdings" w:char="F0FC"/>
            </w:r>
          </w:p>
        </w:tc>
        <w:tc>
          <w:tcPr>
            <w:tcW w:w="543" w:type="pct"/>
          </w:tcPr>
          <w:p w14:paraId="07CA85FA" w14:textId="77777777" w:rsidR="005D63CD" w:rsidRPr="006064BC" w:rsidRDefault="005D63CD" w:rsidP="002A1AEF">
            <w:pPr>
              <w:contextualSpacing/>
              <w:jc w:val="center"/>
              <w:rPr>
                <w:szCs w:val="20"/>
              </w:rPr>
            </w:pPr>
            <w:r>
              <w:rPr>
                <w:sz w:val="21"/>
                <w:szCs w:val="21"/>
              </w:rPr>
              <w:t>‡</w:t>
            </w:r>
          </w:p>
        </w:tc>
      </w:tr>
      <w:tr w:rsidR="005D63CD" w:rsidRPr="006064BC" w14:paraId="5F8E581A" w14:textId="77777777" w:rsidTr="005D63CD">
        <w:trPr>
          <w:trHeight w:val="306"/>
          <w:jc w:val="center"/>
        </w:trPr>
        <w:tc>
          <w:tcPr>
            <w:tcW w:w="216" w:type="pct"/>
          </w:tcPr>
          <w:p w14:paraId="4CFFF5ED" w14:textId="77777777" w:rsidR="005D63CD" w:rsidRPr="006064BC" w:rsidRDefault="005D63CD" w:rsidP="002A1AEF">
            <w:pPr>
              <w:contextualSpacing/>
              <w:jc w:val="center"/>
              <w:rPr>
                <w:szCs w:val="20"/>
              </w:rPr>
            </w:pPr>
            <w:r w:rsidRPr="006064BC">
              <w:rPr>
                <w:szCs w:val="20"/>
              </w:rPr>
              <w:t>AB</w:t>
            </w:r>
          </w:p>
        </w:tc>
        <w:tc>
          <w:tcPr>
            <w:tcW w:w="502" w:type="pct"/>
          </w:tcPr>
          <w:p w14:paraId="128A617D" w14:textId="77777777" w:rsidR="005D63CD" w:rsidRPr="006064BC" w:rsidRDefault="005D63CD" w:rsidP="002A1AEF">
            <w:pPr>
              <w:contextualSpacing/>
              <w:jc w:val="center"/>
              <w:rPr>
                <w:szCs w:val="20"/>
              </w:rPr>
            </w:pPr>
            <w:r w:rsidRPr="006064BC">
              <w:rPr>
                <w:szCs w:val="20"/>
              </w:rPr>
              <w:sym w:font="Wingdings" w:char="F0FC"/>
            </w:r>
          </w:p>
        </w:tc>
        <w:tc>
          <w:tcPr>
            <w:tcW w:w="563" w:type="pct"/>
            <w:shd w:val="clear" w:color="auto" w:fill="auto"/>
            <w:tcMar>
              <w:top w:w="72" w:type="dxa"/>
              <w:left w:w="144" w:type="dxa"/>
              <w:bottom w:w="72" w:type="dxa"/>
              <w:right w:w="144" w:type="dxa"/>
            </w:tcMar>
          </w:tcPr>
          <w:p w14:paraId="61CAAA76" w14:textId="77777777" w:rsidR="005D63CD" w:rsidRPr="006064BC" w:rsidRDefault="005D63CD" w:rsidP="002A1AEF">
            <w:pPr>
              <w:contextualSpacing/>
              <w:jc w:val="center"/>
              <w:rPr>
                <w:szCs w:val="20"/>
              </w:rPr>
            </w:pPr>
            <w:r w:rsidRPr="006064BC">
              <w:rPr>
                <w:szCs w:val="20"/>
              </w:rPr>
              <w:sym w:font="Wingdings" w:char="F0FC"/>
            </w:r>
          </w:p>
        </w:tc>
        <w:tc>
          <w:tcPr>
            <w:tcW w:w="479" w:type="pct"/>
          </w:tcPr>
          <w:p w14:paraId="36FA5798"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3CFF3D2F"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26DAFB2F"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39E2FC03"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53EAD2EF"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72AAFE7A" w14:textId="77777777" w:rsidR="005D63CD" w:rsidRPr="006064BC" w:rsidRDefault="005D63CD" w:rsidP="002A1AEF">
            <w:pPr>
              <w:contextualSpacing/>
              <w:jc w:val="center"/>
              <w:rPr>
                <w:szCs w:val="20"/>
              </w:rPr>
            </w:pPr>
            <w:r w:rsidRPr="006064BC">
              <w:rPr>
                <w:szCs w:val="20"/>
              </w:rPr>
              <w:sym w:font="Wingdings" w:char="F0FC"/>
            </w:r>
          </w:p>
        </w:tc>
        <w:tc>
          <w:tcPr>
            <w:tcW w:w="543" w:type="pct"/>
          </w:tcPr>
          <w:p w14:paraId="24F17E7D" w14:textId="77777777" w:rsidR="005D63CD" w:rsidRPr="006064BC" w:rsidRDefault="005D63CD" w:rsidP="002A1AEF">
            <w:pPr>
              <w:contextualSpacing/>
              <w:jc w:val="center"/>
              <w:rPr>
                <w:szCs w:val="20"/>
              </w:rPr>
            </w:pPr>
            <w:r>
              <w:rPr>
                <w:sz w:val="21"/>
                <w:szCs w:val="21"/>
              </w:rPr>
              <w:t>‡</w:t>
            </w:r>
          </w:p>
        </w:tc>
      </w:tr>
      <w:tr w:rsidR="005D63CD" w:rsidRPr="006064BC" w14:paraId="48A2D213" w14:textId="77777777" w:rsidTr="005D63CD">
        <w:trPr>
          <w:trHeight w:val="306"/>
          <w:jc w:val="center"/>
        </w:trPr>
        <w:tc>
          <w:tcPr>
            <w:tcW w:w="216" w:type="pct"/>
          </w:tcPr>
          <w:p w14:paraId="72D6BD5A" w14:textId="77777777" w:rsidR="005D63CD" w:rsidRPr="006064BC" w:rsidRDefault="005D63CD" w:rsidP="002A1AEF">
            <w:pPr>
              <w:contextualSpacing/>
              <w:jc w:val="center"/>
              <w:rPr>
                <w:szCs w:val="20"/>
              </w:rPr>
            </w:pPr>
            <w:r w:rsidRPr="006064BC">
              <w:rPr>
                <w:szCs w:val="20"/>
              </w:rPr>
              <w:t>SK</w:t>
            </w:r>
          </w:p>
        </w:tc>
        <w:tc>
          <w:tcPr>
            <w:tcW w:w="502" w:type="pct"/>
          </w:tcPr>
          <w:p w14:paraId="332B12B8" w14:textId="77777777" w:rsidR="005D63CD" w:rsidRPr="006064BC" w:rsidRDefault="005D63CD" w:rsidP="002A1AEF">
            <w:pPr>
              <w:contextualSpacing/>
              <w:jc w:val="center"/>
              <w:rPr>
                <w:szCs w:val="20"/>
              </w:rPr>
            </w:pPr>
            <w:r w:rsidRPr="006064BC">
              <w:rPr>
                <w:szCs w:val="20"/>
              </w:rPr>
              <w:sym w:font="Wingdings" w:char="F0FC"/>
            </w:r>
          </w:p>
        </w:tc>
        <w:tc>
          <w:tcPr>
            <w:tcW w:w="563" w:type="pct"/>
            <w:shd w:val="clear" w:color="auto" w:fill="auto"/>
            <w:tcMar>
              <w:top w:w="72" w:type="dxa"/>
              <w:left w:w="144" w:type="dxa"/>
              <w:bottom w:w="72" w:type="dxa"/>
              <w:right w:w="144" w:type="dxa"/>
            </w:tcMar>
          </w:tcPr>
          <w:p w14:paraId="1679DB69" w14:textId="77777777" w:rsidR="005D63CD" w:rsidRPr="006064BC" w:rsidRDefault="005D63CD" w:rsidP="002A1AEF">
            <w:pPr>
              <w:contextualSpacing/>
              <w:jc w:val="center"/>
              <w:rPr>
                <w:szCs w:val="20"/>
              </w:rPr>
            </w:pPr>
            <w:r w:rsidRPr="006064BC">
              <w:rPr>
                <w:szCs w:val="20"/>
              </w:rPr>
              <w:sym w:font="Wingdings" w:char="F0FC"/>
            </w:r>
          </w:p>
        </w:tc>
        <w:tc>
          <w:tcPr>
            <w:tcW w:w="479" w:type="pct"/>
          </w:tcPr>
          <w:p w14:paraId="5BE31852"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3228DF13"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6502BB36"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34D4E241" w14:textId="77777777" w:rsidR="005D63CD" w:rsidRPr="006064BC" w:rsidRDefault="005D63CD" w:rsidP="002A1AEF">
            <w:pPr>
              <w:contextualSpacing/>
              <w:jc w:val="center"/>
              <w:rPr>
                <w:szCs w:val="20"/>
              </w:rPr>
            </w:pPr>
            <w:r w:rsidRPr="00C25E4F">
              <w:rPr>
                <w:sz w:val="21"/>
                <w:szCs w:val="21"/>
              </w:rPr>
              <w:sym w:font="Wingdings" w:char="F0FB"/>
            </w:r>
          </w:p>
        </w:tc>
        <w:tc>
          <w:tcPr>
            <w:tcW w:w="539" w:type="pct"/>
          </w:tcPr>
          <w:p w14:paraId="65F8B712" w14:textId="77777777" w:rsidR="005D63CD" w:rsidRPr="006064BC" w:rsidRDefault="005D63CD" w:rsidP="002A1AEF">
            <w:pPr>
              <w:contextualSpacing/>
              <w:jc w:val="center"/>
              <w:rPr>
                <w:szCs w:val="20"/>
              </w:rPr>
            </w:pPr>
            <w:r w:rsidRPr="00C25E4F">
              <w:rPr>
                <w:sz w:val="21"/>
                <w:szCs w:val="21"/>
              </w:rPr>
              <w:sym w:font="Wingdings" w:char="F0FB"/>
            </w:r>
          </w:p>
        </w:tc>
        <w:tc>
          <w:tcPr>
            <w:tcW w:w="539" w:type="pct"/>
          </w:tcPr>
          <w:p w14:paraId="1194171E" w14:textId="77777777" w:rsidR="005D63CD" w:rsidRPr="006064BC" w:rsidRDefault="005D63CD" w:rsidP="002A1AEF">
            <w:pPr>
              <w:contextualSpacing/>
              <w:jc w:val="center"/>
              <w:rPr>
                <w:szCs w:val="20"/>
              </w:rPr>
            </w:pPr>
            <w:r w:rsidRPr="006064BC">
              <w:rPr>
                <w:szCs w:val="20"/>
              </w:rPr>
              <w:sym w:font="Wingdings" w:char="F0FC"/>
            </w:r>
          </w:p>
        </w:tc>
        <w:tc>
          <w:tcPr>
            <w:tcW w:w="543" w:type="pct"/>
          </w:tcPr>
          <w:p w14:paraId="79478AC0" w14:textId="77777777" w:rsidR="005D63CD" w:rsidRPr="006064BC" w:rsidRDefault="005D63CD" w:rsidP="002A1AEF">
            <w:pPr>
              <w:contextualSpacing/>
              <w:jc w:val="center"/>
              <w:rPr>
                <w:szCs w:val="20"/>
              </w:rPr>
            </w:pPr>
            <w:r>
              <w:rPr>
                <w:sz w:val="21"/>
                <w:szCs w:val="21"/>
              </w:rPr>
              <w:t>‡</w:t>
            </w:r>
          </w:p>
        </w:tc>
      </w:tr>
      <w:tr w:rsidR="005D63CD" w:rsidRPr="006064BC" w14:paraId="273746A6" w14:textId="77777777" w:rsidTr="005D63CD">
        <w:trPr>
          <w:trHeight w:val="306"/>
          <w:jc w:val="center"/>
        </w:trPr>
        <w:tc>
          <w:tcPr>
            <w:tcW w:w="216" w:type="pct"/>
          </w:tcPr>
          <w:p w14:paraId="2961F327" w14:textId="77777777" w:rsidR="005D63CD" w:rsidRPr="006064BC" w:rsidRDefault="005D63CD" w:rsidP="002A1AEF">
            <w:pPr>
              <w:contextualSpacing/>
              <w:jc w:val="center"/>
              <w:rPr>
                <w:szCs w:val="20"/>
              </w:rPr>
            </w:pPr>
            <w:r w:rsidRPr="006064BC">
              <w:rPr>
                <w:szCs w:val="20"/>
              </w:rPr>
              <w:t>MB</w:t>
            </w:r>
          </w:p>
        </w:tc>
        <w:tc>
          <w:tcPr>
            <w:tcW w:w="502" w:type="pct"/>
          </w:tcPr>
          <w:p w14:paraId="2DB9E740" w14:textId="77777777" w:rsidR="005D63CD" w:rsidRPr="006064BC" w:rsidRDefault="005D63CD" w:rsidP="002A1AEF">
            <w:pPr>
              <w:contextualSpacing/>
              <w:jc w:val="center"/>
              <w:rPr>
                <w:szCs w:val="20"/>
              </w:rPr>
            </w:pPr>
            <w:r w:rsidRPr="006064BC">
              <w:rPr>
                <w:szCs w:val="20"/>
              </w:rPr>
              <w:sym w:font="Wingdings" w:char="F0FC"/>
            </w:r>
          </w:p>
        </w:tc>
        <w:tc>
          <w:tcPr>
            <w:tcW w:w="563" w:type="pct"/>
            <w:shd w:val="clear" w:color="auto" w:fill="auto"/>
            <w:tcMar>
              <w:top w:w="72" w:type="dxa"/>
              <w:left w:w="144" w:type="dxa"/>
              <w:bottom w:w="72" w:type="dxa"/>
              <w:right w:w="144" w:type="dxa"/>
            </w:tcMar>
          </w:tcPr>
          <w:p w14:paraId="4FE9520C" w14:textId="77777777" w:rsidR="005D63CD" w:rsidRPr="006064BC" w:rsidRDefault="005D63CD" w:rsidP="002A1AEF">
            <w:pPr>
              <w:contextualSpacing/>
              <w:jc w:val="center"/>
              <w:rPr>
                <w:szCs w:val="20"/>
              </w:rPr>
            </w:pPr>
            <w:r w:rsidRPr="006064BC">
              <w:rPr>
                <w:szCs w:val="20"/>
              </w:rPr>
              <w:sym w:font="Wingdings" w:char="F0FC"/>
            </w:r>
          </w:p>
        </w:tc>
        <w:tc>
          <w:tcPr>
            <w:tcW w:w="479" w:type="pct"/>
          </w:tcPr>
          <w:p w14:paraId="44FD815B"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4C586895"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76B104E0"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00150309" w14:textId="77777777" w:rsidR="005D63CD" w:rsidRPr="006064BC" w:rsidRDefault="005D63CD" w:rsidP="002A1AEF">
            <w:pPr>
              <w:contextualSpacing/>
              <w:jc w:val="center"/>
              <w:rPr>
                <w:szCs w:val="20"/>
              </w:rPr>
            </w:pPr>
            <w:r w:rsidRPr="00C25E4F">
              <w:rPr>
                <w:sz w:val="21"/>
                <w:szCs w:val="21"/>
              </w:rPr>
              <w:sym w:font="Wingdings" w:char="F0FB"/>
            </w:r>
          </w:p>
        </w:tc>
        <w:tc>
          <w:tcPr>
            <w:tcW w:w="539" w:type="pct"/>
          </w:tcPr>
          <w:p w14:paraId="412214E9"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538901AA" w14:textId="77777777" w:rsidR="005D63CD" w:rsidRPr="006064BC" w:rsidRDefault="005D63CD" w:rsidP="002A1AEF">
            <w:pPr>
              <w:contextualSpacing/>
              <w:jc w:val="center"/>
              <w:rPr>
                <w:szCs w:val="20"/>
              </w:rPr>
            </w:pPr>
            <w:r w:rsidRPr="006064BC">
              <w:rPr>
                <w:szCs w:val="20"/>
              </w:rPr>
              <w:sym w:font="Wingdings" w:char="F0FC"/>
            </w:r>
          </w:p>
        </w:tc>
        <w:tc>
          <w:tcPr>
            <w:tcW w:w="543" w:type="pct"/>
          </w:tcPr>
          <w:p w14:paraId="4A11C820" w14:textId="77777777" w:rsidR="005D63CD" w:rsidRPr="006064BC" w:rsidRDefault="005D63CD" w:rsidP="002A1AEF">
            <w:pPr>
              <w:contextualSpacing/>
              <w:jc w:val="center"/>
              <w:rPr>
                <w:szCs w:val="20"/>
              </w:rPr>
            </w:pPr>
            <w:r>
              <w:rPr>
                <w:sz w:val="21"/>
                <w:szCs w:val="21"/>
              </w:rPr>
              <w:t>‡</w:t>
            </w:r>
          </w:p>
        </w:tc>
      </w:tr>
      <w:tr w:rsidR="005D63CD" w:rsidRPr="006064BC" w14:paraId="145FA28D" w14:textId="77777777" w:rsidTr="005D63CD">
        <w:trPr>
          <w:trHeight w:val="306"/>
          <w:jc w:val="center"/>
        </w:trPr>
        <w:tc>
          <w:tcPr>
            <w:tcW w:w="216" w:type="pct"/>
          </w:tcPr>
          <w:p w14:paraId="0E9E0BAD" w14:textId="77777777" w:rsidR="005D63CD" w:rsidRPr="006064BC" w:rsidRDefault="005D63CD" w:rsidP="002A1AEF">
            <w:pPr>
              <w:contextualSpacing/>
              <w:jc w:val="center"/>
              <w:rPr>
                <w:szCs w:val="20"/>
              </w:rPr>
            </w:pPr>
            <w:r w:rsidRPr="006064BC">
              <w:rPr>
                <w:szCs w:val="20"/>
              </w:rPr>
              <w:t>ON</w:t>
            </w:r>
          </w:p>
        </w:tc>
        <w:tc>
          <w:tcPr>
            <w:tcW w:w="502" w:type="pct"/>
          </w:tcPr>
          <w:p w14:paraId="60329641" w14:textId="77777777" w:rsidR="005D63CD" w:rsidRPr="006064BC" w:rsidRDefault="005D63CD" w:rsidP="002A1AEF">
            <w:pPr>
              <w:contextualSpacing/>
              <w:jc w:val="center"/>
              <w:rPr>
                <w:szCs w:val="20"/>
              </w:rPr>
            </w:pPr>
            <w:r w:rsidRPr="006064BC">
              <w:rPr>
                <w:szCs w:val="20"/>
              </w:rPr>
              <w:sym w:font="Wingdings" w:char="F0FC"/>
            </w:r>
          </w:p>
        </w:tc>
        <w:tc>
          <w:tcPr>
            <w:tcW w:w="563" w:type="pct"/>
            <w:shd w:val="clear" w:color="auto" w:fill="auto"/>
            <w:tcMar>
              <w:top w:w="72" w:type="dxa"/>
              <w:left w:w="144" w:type="dxa"/>
              <w:bottom w:w="72" w:type="dxa"/>
              <w:right w:w="144" w:type="dxa"/>
            </w:tcMar>
          </w:tcPr>
          <w:p w14:paraId="0FBB347A" w14:textId="77777777" w:rsidR="005D63CD" w:rsidRPr="006064BC" w:rsidRDefault="005D63CD" w:rsidP="002A1AEF">
            <w:pPr>
              <w:contextualSpacing/>
              <w:jc w:val="center"/>
              <w:rPr>
                <w:szCs w:val="20"/>
              </w:rPr>
            </w:pPr>
            <w:r w:rsidRPr="006064BC">
              <w:rPr>
                <w:szCs w:val="20"/>
              </w:rPr>
              <w:sym w:font="Wingdings" w:char="F0FC"/>
            </w:r>
          </w:p>
        </w:tc>
        <w:tc>
          <w:tcPr>
            <w:tcW w:w="479" w:type="pct"/>
          </w:tcPr>
          <w:p w14:paraId="1BD8DF46"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69FA47AF"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419CFAD0"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3E4EC92A" w14:textId="77777777" w:rsidR="005D63CD" w:rsidRPr="006064BC" w:rsidRDefault="005D63CD" w:rsidP="002A1AEF">
            <w:pPr>
              <w:contextualSpacing/>
              <w:jc w:val="center"/>
              <w:rPr>
                <w:szCs w:val="20"/>
              </w:rPr>
            </w:pPr>
            <w:r w:rsidRPr="00C25E4F">
              <w:rPr>
                <w:sz w:val="21"/>
                <w:szCs w:val="21"/>
              </w:rPr>
              <w:sym w:font="Wingdings" w:char="F0FB"/>
            </w:r>
          </w:p>
        </w:tc>
        <w:tc>
          <w:tcPr>
            <w:tcW w:w="539" w:type="pct"/>
          </w:tcPr>
          <w:p w14:paraId="6F8834A9" w14:textId="77777777" w:rsidR="005D63CD" w:rsidRPr="006064BC" w:rsidRDefault="005D63CD" w:rsidP="002A1AEF">
            <w:pPr>
              <w:contextualSpacing/>
              <w:jc w:val="center"/>
              <w:rPr>
                <w:szCs w:val="20"/>
              </w:rPr>
            </w:pPr>
            <w:r w:rsidRPr="00C25E4F">
              <w:rPr>
                <w:sz w:val="21"/>
                <w:szCs w:val="21"/>
              </w:rPr>
              <w:sym w:font="Wingdings" w:char="F0FB"/>
            </w:r>
          </w:p>
        </w:tc>
        <w:tc>
          <w:tcPr>
            <w:tcW w:w="539" w:type="pct"/>
          </w:tcPr>
          <w:p w14:paraId="57592085" w14:textId="77777777" w:rsidR="005D63CD" w:rsidRPr="006064BC" w:rsidRDefault="005D63CD" w:rsidP="002A1AEF">
            <w:pPr>
              <w:contextualSpacing/>
              <w:jc w:val="center"/>
              <w:rPr>
                <w:szCs w:val="20"/>
              </w:rPr>
            </w:pPr>
            <w:r w:rsidRPr="006064BC">
              <w:rPr>
                <w:szCs w:val="20"/>
              </w:rPr>
              <w:sym w:font="Wingdings" w:char="F0FC"/>
            </w:r>
          </w:p>
        </w:tc>
        <w:tc>
          <w:tcPr>
            <w:tcW w:w="543" w:type="pct"/>
          </w:tcPr>
          <w:p w14:paraId="1141622A" w14:textId="77777777" w:rsidR="005D63CD" w:rsidRPr="006064BC" w:rsidRDefault="005D63CD" w:rsidP="002A1AEF">
            <w:pPr>
              <w:contextualSpacing/>
              <w:jc w:val="center"/>
              <w:rPr>
                <w:szCs w:val="20"/>
              </w:rPr>
            </w:pPr>
            <w:r>
              <w:rPr>
                <w:sz w:val="21"/>
                <w:szCs w:val="21"/>
              </w:rPr>
              <w:t>‡</w:t>
            </w:r>
          </w:p>
        </w:tc>
      </w:tr>
      <w:tr w:rsidR="005D63CD" w:rsidRPr="006064BC" w14:paraId="69858E0C" w14:textId="77777777" w:rsidTr="005D63CD">
        <w:trPr>
          <w:trHeight w:val="306"/>
          <w:jc w:val="center"/>
        </w:trPr>
        <w:tc>
          <w:tcPr>
            <w:tcW w:w="216" w:type="pct"/>
          </w:tcPr>
          <w:p w14:paraId="33EBC507" w14:textId="77777777" w:rsidR="005D63CD" w:rsidRPr="006064BC" w:rsidRDefault="005D63CD" w:rsidP="002A1AEF">
            <w:pPr>
              <w:contextualSpacing/>
              <w:jc w:val="center"/>
              <w:rPr>
                <w:szCs w:val="20"/>
              </w:rPr>
            </w:pPr>
            <w:r w:rsidRPr="006064BC">
              <w:rPr>
                <w:szCs w:val="20"/>
              </w:rPr>
              <w:t>NS</w:t>
            </w:r>
          </w:p>
        </w:tc>
        <w:tc>
          <w:tcPr>
            <w:tcW w:w="502" w:type="pct"/>
          </w:tcPr>
          <w:p w14:paraId="76F27428" w14:textId="77777777" w:rsidR="005D63CD" w:rsidRPr="006064BC" w:rsidRDefault="005D63CD" w:rsidP="002A1AEF">
            <w:pPr>
              <w:contextualSpacing/>
              <w:jc w:val="center"/>
              <w:rPr>
                <w:szCs w:val="20"/>
              </w:rPr>
            </w:pPr>
            <w:r w:rsidRPr="006064BC">
              <w:rPr>
                <w:szCs w:val="20"/>
              </w:rPr>
              <w:sym w:font="Wingdings" w:char="F0FC"/>
            </w:r>
          </w:p>
        </w:tc>
        <w:tc>
          <w:tcPr>
            <w:tcW w:w="563" w:type="pct"/>
            <w:shd w:val="clear" w:color="auto" w:fill="auto"/>
            <w:tcMar>
              <w:top w:w="72" w:type="dxa"/>
              <w:left w:w="144" w:type="dxa"/>
              <w:bottom w:w="72" w:type="dxa"/>
              <w:right w:w="144" w:type="dxa"/>
            </w:tcMar>
          </w:tcPr>
          <w:p w14:paraId="4E5F21D5" w14:textId="77777777" w:rsidR="005D63CD" w:rsidRPr="006064BC" w:rsidRDefault="005D63CD" w:rsidP="002A1AEF">
            <w:pPr>
              <w:contextualSpacing/>
              <w:jc w:val="center"/>
              <w:rPr>
                <w:szCs w:val="20"/>
              </w:rPr>
            </w:pPr>
            <w:r w:rsidRPr="006064BC">
              <w:rPr>
                <w:szCs w:val="20"/>
              </w:rPr>
              <w:sym w:font="Wingdings" w:char="F0FB"/>
            </w:r>
          </w:p>
        </w:tc>
        <w:tc>
          <w:tcPr>
            <w:tcW w:w="479" w:type="pct"/>
          </w:tcPr>
          <w:p w14:paraId="32A1D999"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062587AB"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68D270BA"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6C3B85F4" w14:textId="77777777" w:rsidR="005D63CD" w:rsidRPr="006064BC" w:rsidRDefault="005D63CD" w:rsidP="002A1AEF">
            <w:pPr>
              <w:contextualSpacing/>
              <w:jc w:val="center"/>
              <w:rPr>
                <w:szCs w:val="20"/>
              </w:rPr>
            </w:pPr>
            <w:r w:rsidRPr="006064BC">
              <w:rPr>
                <w:szCs w:val="20"/>
              </w:rPr>
              <w:sym w:font="Wingdings" w:char="F0FB"/>
            </w:r>
          </w:p>
        </w:tc>
        <w:tc>
          <w:tcPr>
            <w:tcW w:w="539" w:type="pct"/>
          </w:tcPr>
          <w:p w14:paraId="428EE18B" w14:textId="77777777" w:rsidR="005D63CD" w:rsidRPr="006064BC" w:rsidRDefault="005D63CD" w:rsidP="002A1AEF">
            <w:pPr>
              <w:contextualSpacing/>
              <w:jc w:val="center"/>
              <w:rPr>
                <w:szCs w:val="20"/>
              </w:rPr>
            </w:pPr>
            <w:r w:rsidRPr="00C25E4F">
              <w:rPr>
                <w:sz w:val="21"/>
                <w:szCs w:val="21"/>
              </w:rPr>
              <w:sym w:font="Wingdings" w:char="F0FB"/>
            </w:r>
          </w:p>
        </w:tc>
        <w:tc>
          <w:tcPr>
            <w:tcW w:w="539" w:type="pct"/>
          </w:tcPr>
          <w:p w14:paraId="7E6F6DBB" w14:textId="77777777" w:rsidR="005D63CD" w:rsidRPr="006064BC" w:rsidRDefault="005D63CD" w:rsidP="002A1AEF">
            <w:pPr>
              <w:contextualSpacing/>
              <w:jc w:val="center"/>
              <w:rPr>
                <w:szCs w:val="20"/>
              </w:rPr>
            </w:pPr>
            <w:r w:rsidRPr="006064BC">
              <w:rPr>
                <w:szCs w:val="20"/>
              </w:rPr>
              <w:sym w:font="Wingdings" w:char="F0FC"/>
            </w:r>
          </w:p>
        </w:tc>
        <w:tc>
          <w:tcPr>
            <w:tcW w:w="543" w:type="pct"/>
          </w:tcPr>
          <w:p w14:paraId="13D18FC7" w14:textId="77777777" w:rsidR="005D63CD" w:rsidRPr="006064BC" w:rsidRDefault="005D63CD" w:rsidP="002A1AEF">
            <w:pPr>
              <w:contextualSpacing/>
              <w:jc w:val="center"/>
              <w:rPr>
                <w:szCs w:val="20"/>
              </w:rPr>
            </w:pPr>
            <w:r>
              <w:rPr>
                <w:sz w:val="21"/>
                <w:szCs w:val="21"/>
              </w:rPr>
              <w:t>‡</w:t>
            </w:r>
          </w:p>
        </w:tc>
      </w:tr>
      <w:tr w:rsidR="005D63CD" w:rsidRPr="006064BC" w14:paraId="5397A44C" w14:textId="77777777" w:rsidTr="005D63CD">
        <w:trPr>
          <w:trHeight w:val="306"/>
          <w:jc w:val="center"/>
        </w:trPr>
        <w:tc>
          <w:tcPr>
            <w:tcW w:w="216" w:type="pct"/>
          </w:tcPr>
          <w:p w14:paraId="43A74A83" w14:textId="77777777" w:rsidR="005D63CD" w:rsidRPr="006064BC" w:rsidRDefault="005D63CD" w:rsidP="002A1AEF">
            <w:pPr>
              <w:contextualSpacing/>
              <w:jc w:val="center"/>
              <w:rPr>
                <w:szCs w:val="20"/>
              </w:rPr>
            </w:pPr>
            <w:r w:rsidRPr="006064BC">
              <w:rPr>
                <w:szCs w:val="20"/>
              </w:rPr>
              <w:t>NB</w:t>
            </w:r>
          </w:p>
        </w:tc>
        <w:tc>
          <w:tcPr>
            <w:tcW w:w="502" w:type="pct"/>
          </w:tcPr>
          <w:p w14:paraId="03E24980" w14:textId="77777777" w:rsidR="005D63CD" w:rsidRPr="006064BC" w:rsidRDefault="005D63CD" w:rsidP="002A1AEF">
            <w:pPr>
              <w:contextualSpacing/>
              <w:jc w:val="center"/>
              <w:rPr>
                <w:szCs w:val="20"/>
              </w:rPr>
            </w:pPr>
            <w:r w:rsidRPr="006064BC">
              <w:rPr>
                <w:szCs w:val="20"/>
              </w:rPr>
              <w:sym w:font="Wingdings" w:char="F0FC"/>
            </w:r>
          </w:p>
        </w:tc>
        <w:tc>
          <w:tcPr>
            <w:tcW w:w="563" w:type="pct"/>
            <w:shd w:val="clear" w:color="auto" w:fill="auto"/>
            <w:tcMar>
              <w:top w:w="72" w:type="dxa"/>
              <w:left w:w="144" w:type="dxa"/>
              <w:bottom w:w="72" w:type="dxa"/>
              <w:right w:w="144" w:type="dxa"/>
            </w:tcMar>
          </w:tcPr>
          <w:p w14:paraId="1B2A7909" w14:textId="77777777" w:rsidR="005D63CD" w:rsidRPr="006064BC" w:rsidRDefault="005D63CD" w:rsidP="002A1AEF">
            <w:pPr>
              <w:contextualSpacing/>
              <w:jc w:val="center"/>
              <w:rPr>
                <w:szCs w:val="20"/>
              </w:rPr>
            </w:pPr>
            <w:r w:rsidRPr="006064BC">
              <w:rPr>
                <w:szCs w:val="20"/>
              </w:rPr>
              <w:sym w:font="Wingdings" w:char="F0FB"/>
            </w:r>
          </w:p>
        </w:tc>
        <w:tc>
          <w:tcPr>
            <w:tcW w:w="479" w:type="pct"/>
          </w:tcPr>
          <w:p w14:paraId="47721753"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7EF5A8CF"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315A0F5A"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670BB6CD" w14:textId="77777777" w:rsidR="005D63CD" w:rsidRPr="006064BC" w:rsidRDefault="005D63CD" w:rsidP="002A1AEF">
            <w:pPr>
              <w:contextualSpacing/>
              <w:jc w:val="center"/>
              <w:rPr>
                <w:szCs w:val="20"/>
              </w:rPr>
            </w:pPr>
            <w:r w:rsidRPr="006064BC">
              <w:rPr>
                <w:szCs w:val="20"/>
              </w:rPr>
              <w:sym w:font="Wingdings" w:char="F0FB"/>
            </w:r>
          </w:p>
        </w:tc>
        <w:tc>
          <w:tcPr>
            <w:tcW w:w="539" w:type="pct"/>
          </w:tcPr>
          <w:p w14:paraId="4770BEC6" w14:textId="77777777" w:rsidR="005D63CD" w:rsidRPr="006064BC" w:rsidRDefault="005D63CD" w:rsidP="002A1AEF">
            <w:pPr>
              <w:contextualSpacing/>
              <w:jc w:val="center"/>
              <w:rPr>
                <w:szCs w:val="20"/>
              </w:rPr>
            </w:pPr>
            <w:r w:rsidRPr="00C25E4F">
              <w:rPr>
                <w:sz w:val="21"/>
                <w:szCs w:val="21"/>
              </w:rPr>
              <w:sym w:font="Wingdings" w:char="F0FB"/>
            </w:r>
          </w:p>
        </w:tc>
        <w:tc>
          <w:tcPr>
            <w:tcW w:w="539" w:type="pct"/>
          </w:tcPr>
          <w:p w14:paraId="4B5385C6" w14:textId="77777777" w:rsidR="005D63CD" w:rsidRPr="006064BC" w:rsidRDefault="005D63CD" w:rsidP="002A1AEF">
            <w:pPr>
              <w:contextualSpacing/>
              <w:jc w:val="center"/>
              <w:rPr>
                <w:szCs w:val="20"/>
              </w:rPr>
            </w:pPr>
            <w:r w:rsidRPr="006064BC">
              <w:rPr>
                <w:szCs w:val="20"/>
              </w:rPr>
              <w:sym w:font="Wingdings" w:char="F0FC"/>
            </w:r>
          </w:p>
        </w:tc>
        <w:tc>
          <w:tcPr>
            <w:tcW w:w="543" w:type="pct"/>
          </w:tcPr>
          <w:p w14:paraId="5E3FE095" w14:textId="77777777" w:rsidR="005D63CD" w:rsidRPr="006064BC" w:rsidRDefault="005D63CD" w:rsidP="002A1AEF">
            <w:pPr>
              <w:contextualSpacing/>
              <w:jc w:val="center"/>
              <w:rPr>
                <w:szCs w:val="20"/>
              </w:rPr>
            </w:pPr>
            <w:r>
              <w:rPr>
                <w:sz w:val="21"/>
                <w:szCs w:val="21"/>
              </w:rPr>
              <w:t>‡</w:t>
            </w:r>
          </w:p>
        </w:tc>
      </w:tr>
      <w:tr w:rsidR="005D63CD" w:rsidRPr="006064BC" w14:paraId="5ED9BB33" w14:textId="77777777" w:rsidTr="005D63CD">
        <w:trPr>
          <w:trHeight w:val="306"/>
          <w:jc w:val="center"/>
        </w:trPr>
        <w:tc>
          <w:tcPr>
            <w:tcW w:w="216" w:type="pct"/>
          </w:tcPr>
          <w:p w14:paraId="7B86CE39" w14:textId="77777777" w:rsidR="005D63CD" w:rsidRPr="006064BC" w:rsidRDefault="005D63CD" w:rsidP="002A1AEF">
            <w:pPr>
              <w:contextualSpacing/>
              <w:jc w:val="center"/>
              <w:rPr>
                <w:szCs w:val="20"/>
              </w:rPr>
            </w:pPr>
            <w:r w:rsidRPr="006064BC">
              <w:rPr>
                <w:szCs w:val="20"/>
              </w:rPr>
              <w:t>NL</w:t>
            </w:r>
          </w:p>
        </w:tc>
        <w:tc>
          <w:tcPr>
            <w:tcW w:w="502" w:type="pct"/>
          </w:tcPr>
          <w:p w14:paraId="7DA26002" w14:textId="77777777" w:rsidR="005D63CD" w:rsidRPr="006064BC" w:rsidRDefault="005D63CD" w:rsidP="002A1AEF">
            <w:pPr>
              <w:contextualSpacing/>
              <w:jc w:val="center"/>
              <w:rPr>
                <w:szCs w:val="20"/>
              </w:rPr>
            </w:pPr>
            <w:r w:rsidRPr="006064BC">
              <w:rPr>
                <w:szCs w:val="20"/>
              </w:rPr>
              <w:sym w:font="Wingdings" w:char="F0FC"/>
            </w:r>
          </w:p>
        </w:tc>
        <w:tc>
          <w:tcPr>
            <w:tcW w:w="563" w:type="pct"/>
            <w:shd w:val="clear" w:color="auto" w:fill="auto"/>
            <w:tcMar>
              <w:top w:w="72" w:type="dxa"/>
              <w:left w:w="144" w:type="dxa"/>
              <w:bottom w:w="72" w:type="dxa"/>
              <w:right w:w="144" w:type="dxa"/>
            </w:tcMar>
          </w:tcPr>
          <w:p w14:paraId="594A1DF1" w14:textId="77777777" w:rsidR="005D63CD" w:rsidRPr="006064BC" w:rsidRDefault="005D63CD" w:rsidP="002A1AEF">
            <w:pPr>
              <w:contextualSpacing/>
              <w:jc w:val="center"/>
              <w:rPr>
                <w:szCs w:val="20"/>
              </w:rPr>
            </w:pPr>
            <w:r w:rsidRPr="006064BC">
              <w:rPr>
                <w:szCs w:val="20"/>
              </w:rPr>
              <w:sym w:font="Wingdings" w:char="F0FB"/>
            </w:r>
          </w:p>
        </w:tc>
        <w:tc>
          <w:tcPr>
            <w:tcW w:w="479" w:type="pct"/>
          </w:tcPr>
          <w:p w14:paraId="0B6B9214"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38CFAF7B"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128BCD97"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185ACD69" w14:textId="77777777" w:rsidR="005D63CD" w:rsidRPr="006064BC" w:rsidRDefault="005D63CD" w:rsidP="002A1AEF">
            <w:pPr>
              <w:contextualSpacing/>
              <w:jc w:val="center"/>
              <w:rPr>
                <w:szCs w:val="20"/>
              </w:rPr>
            </w:pPr>
            <w:r w:rsidRPr="006064BC">
              <w:rPr>
                <w:szCs w:val="20"/>
              </w:rPr>
              <w:sym w:font="Wingdings" w:char="F0FB"/>
            </w:r>
          </w:p>
        </w:tc>
        <w:tc>
          <w:tcPr>
            <w:tcW w:w="539" w:type="pct"/>
          </w:tcPr>
          <w:p w14:paraId="6E86E76B" w14:textId="77777777" w:rsidR="005D63CD" w:rsidRPr="006064BC" w:rsidRDefault="005D63CD" w:rsidP="002A1AEF">
            <w:pPr>
              <w:contextualSpacing/>
              <w:jc w:val="center"/>
              <w:rPr>
                <w:szCs w:val="20"/>
              </w:rPr>
            </w:pPr>
            <w:r w:rsidRPr="00C25E4F">
              <w:rPr>
                <w:sz w:val="21"/>
                <w:szCs w:val="21"/>
              </w:rPr>
              <w:sym w:font="Wingdings" w:char="F0FB"/>
            </w:r>
          </w:p>
        </w:tc>
        <w:tc>
          <w:tcPr>
            <w:tcW w:w="539" w:type="pct"/>
          </w:tcPr>
          <w:p w14:paraId="4868EF81" w14:textId="77777777" w:rsidR="005D63CD" w:rsidRPr="006064BC" w:rsidRDefault="005D63CD" w:rsidP="002A1AEF">
            <w:pPr>
              <w:contextualSpacing/>
              <w:jc w:val="center"/>
              <w:rPr>
                <w:szCs w:val="20"/>
              </w:rPr>
            </w:pPr>
            <w:r w:rsidRPr="006064BC">
              <w:rPr>
                <w:szCs w:val="20"/>
              </w:rPr>
              <w:sym w:font="Wingdings" w:char="F0FC"/>
            </w:r>
          </w:p>
        </w:tc>
        <w:tc>
          <w:tcPr>
            <w:tcW w:w="543" w:type="pct"/>
          </w:tcPr>
          <w:p w14:paraId="7CB8F69C" w14:textId="77777777" w:rsidR="005D63CD" w:rsidRPr="006064BC" w:rsidRDefault="005D63CD" w:rsidP="002A1AEF">
            <w:pPr>
              <w:contextualSpacing/>
              <w:jc w:val="center"/>
              <w:rPr>
                <w:szCs w:val="20"/>
              </w:rPr>
            </w:pPr>
            <w:r>
              <w:rPr>
                <w:sz w:val="21"/>
                <w:szCs w:val="21"/>
              </w:rPr>
              <w:t>‡</w:t>
            </w:r>
          </w:p>
        </w:tc>
      </w:tr>
      <w:tr w:rsidR="005D63CD" w:rsidRPr="006064BC" w14:paraId="41EDEB31" w14:textId="77777777" w:rsidTr="005D63CD">
        <w:trPr>
          <w:trHeight w:val="306"/>
          <w:jc w:val="center"/>
        </w:trPr>
        <w:tc>
          <w:tcPr>
            <w:tcW w:w="216" w:type="pct"/>
          </w:tcPr>
          <w:p w14:paraId="61EF8F88" w14:textId="77777777" w:rsidR="005D63CD" w:rsidRPr="006064BC" w:rsidRDefault="005D63CD" w:rsidP="002A1AEF">
            <w:pPr>
              <w:contextualSpacing/>
              <w:jc w:val="center"/>
              <w:rPr>
                <w:szCs w:val="20"/>
              </w:rPr>
            </w:pPr>
            <w:r w:rsidRPr="006064BC">
              <w:rPr>
                <w:szCs w:val="20"/>
              </w:rPr>
              <w:t>PEI</w:t>
            </w:r>
          </w:p>
        </w:tc>
        <w:tc>
          <w:tcPr>
            <w:tcW w:w="502" w:type="pct"/>
          </w:tcPr>
          <w:p w14:paraId="3E6245D9" w14:textId="77777777" w:rsidR="005D63CD" w:rsidRPr="006064BC" w:rsidRDefault="005D63CD" w:rsidP="002A1AEF">
            <w:pPr>
              <w:contextualSpacing/>
              <w:jc w:val="center"/>
              <w:rPr>
                <w:szCs w:val="20"/>
              </w:rPr>
            </w:pPr>
            <w:r w:rsidRPr="006064BC">
              <w:rPr>
                <w:szCs w:val="20"/>
              </w:rPr>
              <w:sym w:font="Wingdings" w:char="F0FC"/>
            </w:r>
          </w:p>
        </w:tc>
        <w:tc>
          <w:tcPr>
            <w:tcW w:w="563" w:type="pct"/>
            <w:shd w:val="clear" w:color="auto" w:fill="auto"/>
            <w:tcMar>
              <w:top w:w="72" w:type="dxa"/>
              <w:left w:w="144" w:type="dxa"/>
              <w:bottom w:w="72" w:type="dxa"/>
              <w:right w:w="144" w:type="dxa"/>
            </w:tcMar>
          </w:tcPr>
          <w:p w14:paraId="5B1E6FD2" w14:textId="77777777" w:rsidR="005D63CD" w:rsidRPr="006064BC" w:rsidRDefault="005D63CD" w:rsidP="002A1AEF">
            <w:pPr>
              <w:contextualSpacing/>
              <w:jc w:val="center"/>
              <w:rPr>
                <w:szCs w:val="20"/>
              </w:rPr>
            </w:pPr>
            <w:r w:rsidRPr="006064BC">
              <w:rPr>
                <w:szCs w:val="20"/>
              </w:rPr>
              <w:sym w:font="Wingdings" w:char="F0FC"/>
            </w:r>
          </w:p>
        </w:tc>
        <w:tc>
          <w:tcPr>
            <w:tcW w:w="479" w:type="pct"/>
          </w:tcPr>
          <w:p w14:paraId="39B4AAE6"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630D0AB3" w14:textId="77777777" w:rsidR="005D63CD" w:rsidRPr="006064BC" w:rsidRDefault="005D63CD" w:rsidP="002A1AEF">
            <w:pPr>
              <w:contextualSpacing/>
              <w:jc w:val="center"/>
              <w:rPr>
                <w:szCs w:val="20"/>
              </w:rPr>
            </w:pPr>
            <w:r w:rsidRPr="006064BC">
              <w:rPr>
                <w:szCs w:val="20"/>
              </w:rPr>
              <w:sym w:font="Wingdings" w:char="F0FC"/>
            </w:r>
          </w:p>
        </w:tc>
        <w:tc>
          <w:tcPr>
            <w:tcW w:w="539" w:type="pct"/>
          </w:tcPr>
          <w:p w14:paraId="06606A5E" w14:textId="77777777" w:rsidR="005D63CD" w:rsidRPr="006064BC" w:rsidRDefault="005D63CD" w:rsidP="002A1AEF">
            <w:pPr>
              <w:contextualSpacing/>
              <w:jc w:val="center"/>
              <w:rPr>
                <w:szCs w:val="20"/>
              </w:rPr>
            </w:pPr>
            <w:r>
              <w:rPr>
                <w:sz w:val="21"/>
                <w:szCs w:val="21"/>
              </w:rPr>
              <w:t>†</w:t>
            </w:r>
          </w:p>
        </w:tc>
        <w:tc>
          <w:tcPr>
            <w:tcW w:w="539" w:type="pct"/>
          </w:tcPr>
          <w:p w14:paraId="3BDD5CDC" w14:textId="77777777" w:rsidR="005D63CD" w:rsidRPr="006064BC" w:rsidRDefault="005D63CD" w:rsidP="002A1AEF">
            <w:pPr>
              <w:contextualSpacing/>
              <w:jc w:val="center"/>
              <w:rPr>
                <w:szCs w:val="20"/>
              </w:rPr>
            </w:pPr>
            <w:r w:rsidRPr="006064BC">
              <w:rPr>
                <w:szCs w:val="20"/>
              </w:rPr>
              <w:sym w:font="Wingdings" w:char="F0FB"/>
            </w:r>
          </w:p>
        </w:tc>
        <w:tc>
          <w:tcPr>
            <w:tcW w:w="539" w:type="pct"/>
          </w:tcPr>
          <w:p w14:paraId="36402D0E" w14:textId="77777777" w:rsidR="005D63CD" w:rsidRPr="006064BC" w:rsidRDefault="005D63CD" w:rsidP="002A1AEF">
            <w:pPr>
              <w:contextualSpacing/>
              <w:jc w:val="center"/>
              <w:rPr>
                <w:szCs w:val="20"/>
              </w:rPr>
            </w:pPr>
            <w:r w:rsidRPr="00C25E4F">
              <w:rPr>
                <w:sz w:val="21"/>
                <w:szCs w:val="21"/>
              </w:rPr>
              <w:sym w:font="Wingdings" w:char="F0FB"/>
            </w:r>
          </w:p>
        </w:tc>
        <w:tc>
          <w:tcPr>
            <w:tcW w:w="539" w:type="pct"/>
          </w:tcPr>
          <w:p w14:paraId="570D305A" w14:textId="77777777" w:rsidR="005D63CD" w:rsidRPr="006064BC" w:rsidRDefault="005D63CD" w:rsidP="002A1AEF">
            <w:pPr>
              <w:contextualSpacing/>
              <w:jc w:val="center"/>
              <w:rPr>
                <w:szCs w:val="20"/>
              </w:rPr>
            </w:pPr>
            <w:r w:rsidRPr="006064BC">
              <w:rPr>
                <w:szCs w:val="20"/>
              </w:rPr>
              <w:sym w:font="Wingdings" w:char="F0FC"/>
            </w:r>
          </w:p>
        </w:tc>
        <w:tc>
          <w:tcPr>
            <w:tcW w:w="543" w:type="pct"/>
          </w:tcPr>
          <w:p w14:paraId="3004C45D" w14:textId="77777777" w:rsidR="005D63CD" w:rsidRPr="006064BC" w:rsidRDefault="005D63CD" w:rsidP="002A1AEF">
            <w:pPr>
              <w:contextualSpacing/>
              <w:jc w:val="center"/>
              <w:rPr>
                <w:szCs w:val="20"/>
              </w:rPr>
            </w:pPr>
            <w:r>
              <w:rPr>
                <w:sz w:val="21"/>
                <w:szCs w:val="21"/>
              </w:rPr>
              <w:t>‡</w:t>
            </w:r>
          </w:p>
        </w:tc>
      </w:tr>
    </w:tbl>
    <w:p w14:paraId="5F64949C" w14:textId="77777777" w:rsidR="005D63CD" w:rsidRDefault="005D63CD" w:rsidP="005D63CD">
      <w:pPr>
        <w:tabs>
          <w:tab w:val="left" w:pos="720"/>
          <w:tab w:val="left" w:pos="1440"/>
          <w:tab w:val="left" w:pos="2160"/>
          <w:tab w:val="left" w:pos="2880"/>
          <w:tab w:val="left" w:pos="3600"/>
          <w:tab w:val="left" w:pos="4320"/>
          <w:tab w:val="center" w:pos="6120"/>
        </w:tabs>
        <w:contextualSpacing/>
        <w:rPr>
          <w:sz w:val="21"/>
          <w:szCs w:val="21"/>
        </w:rPr>
      </w:pPr>
      <w:r w:rsidRPr="00ED1A1A">
        <w:rPr>
          <w:sz w:val="21"/>
          <w:szCs w:val="21"/>
          <w:vertAlign w:val="superscript"/>
        </w:rPr>
        <w:t>2</w:t>
      </w:r>
      <w:r>
        <w:rPr>
          <w:sz w:val="21"/>
          <w:szCs w:val="21"/>
        </w:rPr>
        <w:t>after chemotherapy; patients previously treated with other TKI are not eligible for erlotinib (except in Alberta)</w:t>
      </w:r>
    </w:p>
    <w:p w14:paraId="30A60E66" w14:textId="77777777" w:rsidR="005D63CD" w:rsidRDefault="005D63CD" w:rsidP="005D63CD">
      <w:pPr>
        <w:contextualSpacing/>
        <w:rPr>
          <w:sz w:val="21"/>
          <w:szCs w:val="21"/>
        </w:rPr>
      </w:pPr>
    </w:p>
    <w:p w14:paraId="6D831DD8" w14:textId="77777777" w:rsidR="005D63CD" w:rsidRDefault="005D63CD" w:rsidP="005D63CD">
      <w:pPr>
        <w:tabs>
          <w:tab w:val="left" w:pos="720"/>
          <w:tab w:val="left" w:pos="1440"/>
          <w:tab w:val="left" w:pos="2160"/>
          <w:tab w:val="left" w:pos="2880"/>
          <w:tab w:val="left" w:pos="3600"/>
          <w:tab w:val="left" w:pos="4320"/>
          <w:tab w:val="center" w:pos="6120"/>
        </w:tabs>
        <w:contextualSpacing/>
        <w:rPr>
          <w:sz w:val="21"/>
          <w:szCs w:val="21"/>
        </w:rPr>
      </w:pPr>
      <w:r w:rsidRPr="00C25E4F">
        <w:rPr>
          <w:sz w:val="21"/>
          <w:szCs w:val="21"/>
        </w:rPr>
        <w:sym w:font="Wingdings" w:char="F0FC"/>
      </w:r>
      <w:r>
        <w:rPr>
          <w:sz w:val="21"/>
          <w:szCs w:val="21"/>
        </w:rPr>
        <w:t xml:space="preserve"> Funded</w:t>
      </w:r>
      <w:r>
        <w:rPr>
          <w:sz w:val="21"/>
          <w:szCs w:val="21"/>
        </w:rPr>
        <w:tab/>
      </w:r>
      <w:r w:rsidRPr="00C25E4F">
        <w:rPr>
          <w:sz w:val="21"/>
          <w:szCs w:val="21"/>
        </w:rPr>
        <w:sym w:font="Wingdings" w:char="F0FB"/>
      </w:r>
      <w:r>
        <w:rPr>
          <w:sz w:val="21"/>
          <w:szCs w:val="21"/>
        </w:rPr>
        <w:t xml:space="preserve"> Not funded </w:t>
      </w:r>
      <w:r>
        <w:rPr>
          <w:sz w:val="21"/>
          <w:szCs w:val="21"/>
        </w:rPr>
        <w:tab/>
        <w:t xml:space="preserve">  †Under Provincial Consideration (decision not yet made) </w:t>
      </w:r>
    </w:p>
    <w:p w14:paraId="5A1CC98C" w14:textId="77777777" w:rsidR="005D63CD" w:rsidRDefault="005D63CD" w:rsidP="005D63CD">
      <w:pPr>
        <w:tabs>
          <w:tab w:val="left" w:pos="720"/>
          <w:tab w:val="left" w:pos="1440"/>
          <w:tab w:val="left" w:pos="2160"/>
          <w:tab w:val="left" w:pos="2880"/>
          <w:tab w:val="left" w:pos="3600"/>
          <w:tab w:val="left" w:pos="4320"/>
          <w:tab w:val="center" w:pos="6120"/>
        </w:tabs>
        <w:contextualSpacing/>
        <w:rPr>
          <w:sz w:val="21"/>
          <w:szCs w:val="21"/>
        </w:rPr>
      </w:pPr>
      <w:r>
        <w:rPr>
          <w:sz w:val="21"/>
          <w:szCs w:val="21"/>
        </w:rPr>
        <w:t>‡ Under Manufacturer Negotiation</w:t>
      </w:r>
    </w:p>
    <w:p w14:paraId="1D6CF739" w14:textId="77777777" w:rsidR="005D63CD" w:rsidRDefault="005D63CD" w:rsidP="005D63CD">
      <w:pPr>
        <w:tabs>
          <w:tab w:val="left" w:pos="720"/>
          <w:tab w:val="left" w:pos="1440"/>
          <w:tab w:val="left" w:pos="2160"/>
          <w:tab w:val="left" w:pos="2880"/>
          <w:tab w:val="left" w:pos="3600"/>
          <w:tab w:val="left" w:pos="4320"/>
          <w:tab w:val="center" w:pos="6120"/>
        </w:tabs>
        <w:contextualSpacing/>
        <w:rPr>
          <w:sz w:val="21"/>
          <w:szCs w:val="21"/>
        </w:rPr>
      </w:pPr>
    </w:p>
    <w:p w14:paraId="2B090A2E" w14:textId="77777777" w:rsidR="005D63CD" w:rsidRPr="000028EA" w:rsidRDefault="005D63CD">
      <w:pPr>
        <w:rPr>
          <w:rFonts w:ascii="Arial" w:hAnsi="Arial" w:cs="Arial"/>
          <w:sz w:val="18"/>
          <w:szCs w:val="18"/>
        </w:rPr>
      </w:pPr>
    </w:p>
    <w:sectPr w:rsidR="005D63CD"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7B9F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D52F9F">
                            <w:rPr>
                              <w:rFonts w:ascii="Arial" w:hAnsi="Arial" w:cs="Arial"/>
                              <w:noProof/>
                              <w:sz w:val="14"/>
                              <w:szCs w:val="14"/>
                            </w:rPr>
                            <w:t>3</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D52F9F">
                      <w:rPr>
                        <w:rFonts w:ascii="Arial" w:hAnsi="Arial" w:cs="Arial"/>
                        <w:noProof/>
                        <w:sz w:val="14"/>
                        <w:szCs w:val="14"/>
                      </w:rPr>
                      <w:t>3</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127EB"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D52F9F">
                            <w:rPr>
                              <w:rFonts w:ascii="Arial" w:hAnsi="Arial" w:cs="Arial"/>
                              <w:noProof/>
                              <w:sz w:val="14"/>
                              <w:szCs w:val="14"/>
                            </w:rPr>
                            <w:t>2</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D52F9F">
                      <w:rPr>
                        <w:rFonts w:ascii="Arial" w:hAnsi="Arial" w:cs="Arial"/>
                        <w:noProof/>
                        <w:sz w:val="14"/>
                        <w:szCs w:val="14"/>
                      </w:rPr>
                      <w:t>2</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1B786D"/>
    <w:multiLevelType w:val="hybridMultilevel"/>
    <w:tmpl w:val="8C10A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8BF551A"/>
    <w:multiLevelType w:val="hybridMultilevel"/>
    <w:tmpl w:val="5A40AF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C1415B0"/>
    <w:multiLevelType w:val="hybridMultilevel"/>
    <w:tmpl w:val="4B6036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7"/>
  </w:num>
  <w:num w:numId="23">
    <w:abstractNumId w:val="47"/>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5"/>
  </w:num>
  <w:num w:numId="31">
    <w:abstractNumId w:val="39"/>
  </w:num>
  <w:num w:numId="32">
    <w:abstractNumId w:val="48"/>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0"/>
  </w:num>
  <w:num w:numId="42">
    <w:abstractNumId w:val="18"/>
  </w:num>
  <w:num w:numId="43">
    <w:abstractNumId w:val="35"/>
  </w:num>
  <w:num w:numId="44">
    <w:abstractNumId w:val="42"/>
  </w:num>
  <w:num w:numId="45">
    <w:abstractNumId w:val="20"/>
  </w:num>
  <w:num w:numId="46">
    <w:abstractNumId w:val="13"/>
  </w:num>
  <w:num w:numId="47">
    <w:abstractNumId w:val="32"/>
  </w:num>
  <w:num w:numId="48">
    <w:abstractNumId w:val="43"/>
  </w:num>
  <w:num w:numId="49">
    <w:abstractNumId w:val="28"/>
  </w:num>
  <w:num w:numId="50">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D63CD"/>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3F49"/>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5A3F"/>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2F9F"/>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53801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cn.org/professionals/physician_gls/pdf/nscl_blocks.pdf" TargetMode="External"/><Relationship Id="rId2" Type="http://schemas.openxmlformats.org/officeDocument/2006/relationships/numbering" Target="numbering.xml"/><Relationship Id="rId16" Type="http://schemas.openxmlformats.org/officeDocument/2006/relationships/hyperlink" Target="https://academic.oup.com/annonc/article/27/suppl_5/v1/22370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elancet.com/journals/lanonc/article/PIIS1470-2045(17)30608-3/fulltext?code=lancet-sit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774721"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6671-2C7F-4DEF-9DE7-F37F8D9E5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2018-08-20T18:19:00Z</dcterms:modified>
</cp:coreProperties>
</file>