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FCA42D3" w:rsidR="004C2D93" w:rsidRPr="00323732" w:rsidRDefault="008737AB" w:rsidP="004C2D93">
      <w:pPr>
        <w:pStyle w:val="DocumentTitle"/>
        <w:tabs>
          <w:tab w:val="left" w:pos="1074"/>
        </w:tabs>
        <w:spacing w:after="240"/>
        <w:rPr>
          <w:color w:val="595959"/>
          <w:szCs w:val="20"/>
        </w:rPr>
      </w:pPr>
      <w:r>
        <w:rPr>
          <w:color w:val="595959"/>
          <w:szCs w:val="20"/>
        </w:rPr>
        <w:t>1</w:t>
      </w:r>
      <w:r w:rsidR="00205435"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00205435"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6CED259" w:rsidR="00121EB1" w:rsidRPr="0049603D" w:rsidRDefault="00190997" w:rsidP="0049603D">
            <w:pPr>
              <w:pStyle w:val="DocumentTitle"/>
              <w:tabs>
                <w:tab w:val="left" w:pos="1074"/>
              </w:tabs>
              <w:spacing w:before="0" w:after="0"/>
              <w:rPr>
                <w:sz w:val="18"/>
                <w:szCs w:val="20"/>
              </w:rPr>
            </w:pPr>
            <w:r w:rsidRPr="0049603D">
              <w:rPr>
                <w:sz w:val="18"/>
                <w:szCs w:val="20"/>
              </w:rPr>
              <w:t>pCODR 101</w:t>
            </w:r>
            <w:r w:rsidR="00C771B8">
              <w:rPr>
                <w:sz w:val="18"/>
                <w:szCs w:val="20"/>
              </w:rPr>
              <w:t>41</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865314B" w:rsidR="00F369F8" w:rsidRPr="0049603D" w:rsidRDefault="00C771B8" w:rsidP="00C771B8">
            <w:pPr>
              <w:pStyle w:val="DocumentTitle"/>
              <w:tabs>
                <w:tab w:val="left" w:pos="1074"/>
              </w:tabs>
              <w:spacing w:before="0" w:after="0"/>
              <w:rPr>
                <w:sz w:val="18"/>
                <w:szCs w:val="20"/>
              </w:rPr>
            </w:pPr>
            <w:r>
              <w:rPr>
                <w:sz w:val="18"/>
                <w:szCs w:val="20"/>
              </w:rPr>
              <w:t>Lenalidomide (Revlimid) with bortezomib and dexamethasone</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13203B7F" w:rsidR="00190997" w:rsidRPr="002C1ACC" w:rsidRDefault="00C771B8" w:rsidP="0049603D">
            <w:pPr>
              <w:rPr>
                <w:rFonts w:ascii="Arial" w:eastAsia="Calibri" w:hAnsi="Arial" w:cs="Arial"/>
                <w:b/>
                <w:sz w:val="18"/>
                <w:highlight w:val="yellow"/>
              </w:rPr>
            </w:pPr>
            <w:r w:rsidRPr="00C771B8">
              <w:rPr>
                <w:rFonts w:ascii="Arial" w:eastAsia="Calibri" w:hAnsi="Arial" w:cs="Arial"/>
                <w:b/>
                <w:sz w:val="18"/>
              </w:rPr>
              <w:t>Multiple Myeloma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F3B9752" w:rsidR="00F369F8" w:rsidRPr="00C771B8" w:rsidRDefault="00C771B8" w:rsidP="0033375D">
            <w:pPr>
              <w:pStyle w:val="DocumentTitle"/>
              <w:tabs>
                <w:tab w:val="left" w:pos="1074"/>
              </w:tabs>
              <w:spacing w:before="0" w:after="0"/>
              <w:rPr>
                <w:sz w:val="18"/>
                <w:szCs w:val="20"/>
              </w:rPr>
            </w:pPr>
            <w:r w:rsidRPr="00C771B8">
              <w:rPr>
                <w:sz w:val="18"/>
                <w:szCs w:val="20"/>
              </w:rPr>
              <w:t>The combination of lenalidomide, bortezomib, and low-dose dexamethasone, for the treatment of newly diagnosed multiple myeloma patients in whom stem cell transplantation is not intended.</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AF95AC5" w14:textId="01AC3490" w:rsidR="0049603D" w:rsidRPr="00C771B8" w:rsidRDefault="00C771B8" w:rsidP="00C771B8">
            <w:pPr>
              <w:pStyle w:val="DocumentTitle"/>
              <w:numPr>
                <w:ilvl w:val="0"/>
                <w:numId w:val="52"/>
              </w:numPr>
              <w:tabs>
                <w:tab w:val="left" w:pos="1074"/>
              </w:tabs>
              <w:spacing w:before="0" w:after="0"/>
              <w:rPr>
                <w:sz w:val="18"/>
                <w:szCs w:val="18"/>
              </w:rPr>
            </w:pPr>
            <w:r w:rsidRPr="00C771B8">
              <w:rPr>
                <w:color w:val="000000"/>
                <w:sz w:val="18"/>
                <w:szCs w:val="18"/>
                <w:shd w:val="clear" w:color="auto" w:fill="FFFFFF"/>
              </w:rPr>
              <w:t xml:space="preserve">SWOG S0777 </w:t>
            </w:r>
            <w:r w:rsidR="0049603D" w:rsidRPr="00C771B8">
              <w:rPr>
                <w:color w:val="000000"/>
                <w:sz w:val="18"/>
                <w:szCs w:val="18"/>
                <w:shd w:val="clear" w:color="auto" w:fill="FFFFFF"/>
              </w:rPr>
              <w:t>(</w:t>
            </w:r>
            <w:hyperlink r:id="rId14" w:tgtFrame="_blank" w:history="1">
              <w:r w:rsidRPr="00C771B8">
                <w:rPr>
                  <w:rStyle w:val="Hyperlink"/>
                  <w:sz w:val="18"/>
                  <w:szCs w:val="18"/>
                  <w:bdr w:val="none" w:sz="0" w:space="0" w:color="auto" w:frame="1"/>
                  <w:shd w:val="clear" w:color="auto" w:fill="FFFFFF"/>
                </w:rPr>
                <w:t>NCT00644228</w:t>
              </w:r>
            </w:hyperlink>
            <w:r w:rsidR="0049603D" w:rsidRPr="00C771B8">
              <w:rPr>
                <w:color w:val="000000"/>
                <w:sz w:val="18"/>
                <w:szCs w:val="18"/>
                <w:shd w:val="clear" w:color="auto" w:fill="FFFFFF"/>
              </w:rPr>
              <w:t>)</w:t>
            </w:r>
          </w:p>
          <w:p w14:paraId="52AF8FBD" w14:textId="0A7AE2C9" w:rsidR="00C771B8" w:rsidRPr="00C771B8" w:rsidRDefault="008737AB" w:rsidP="0049603D">
            <w:pPr>
              <w:pStyle w:val="DocumentTitle"/>
              <w:numPr>
                <w:ilvl w:val="0"/>
                <w:numId w:val="52"/>
              </w:numPr>
              <w:tabs>
                <w:tab w:val="left" w:pos="1074"/>
              </w:tabs>
              <w:spacing w:before="0" w:after="0"/>
              <w:rPr>
                <w:sz w:val="18"/>
                <w:szCs w:val="18"/>
              </w:rPr>
            </w:pPr>
            <w:hyperlink r:id="rId15" w:tgtFrame="_blank" w:history="1">
              <w:r w:rsidR="00C771B8" w:rsidRPr="00C771B8">
                <w:rPr>
                  <w:rStyle w:val="Hyperlink"/>
                  <w:sz w:val="18"/>
                  <w:szCs w:val="18"/>
                  <w:bdr w:val="none" w:sz="0" w:space="0" w:color="auto" w:frame="1"/>
                  <w:shd w:val="clear" w:color="auto" w:fill="FFFFFF"/>
                </w:rPr>
                <w:t>Durie et al, Lancet 2017</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248C071B"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179D32D7" w14:textId="71D632E4" w:rsidR="00C771B8" w:rsidRPr="00C771B8" w:rsidRDefault="00C771B8" w:rsidP="00C771B8">
            <w:pPr>
              <w:pStyle w:val="DocumentTitle"/>
              <w:tabs>
                <w:tab w:val="left" w:pos="1074"/>
              </w:tabs>
              <w:spacing w:before="0" w:after="0"/>
              <w:rPr>
                <w:sz w:val="18"/>
                <w:szCs w:val="18"/>
              </w:rPr>
            </w:pPr>
            <w:r w:rsidRPr="00C771B8">
              <w:rPr>
                <w:sz w:val="18"/>
                <w:szCs w:val="18"/>
              </w:rPr>
              <w:t>March 20, 2018</w:t>
            </w:r>
          </w:p>
          <w:p w14:paraId="547CC765" w14:textId="2606E6EF" w:rsidR="00C771B8" w:rsidRPr="00C771B8" w:rsidRDefault="008737AB" w:rsidP="00C771B8">
            <w:pPr>
              <w:pStyle w:val="DocumentTitle"/>
              <w:tabs>
                <w:tab w:val="left" w:pos="1074"/>
              </w:tabs>
              <w:spacing w:after="0"/>
              <w:rPr>
                <w:sz w:val="18"/>
                <w:szCs w:val="18"/>
              </w:rPr>
            </w:pPr>
            <w:hyperlink r:id="rId16" w:history="1">
              <w:r w:rsidR="00C771B8" w:rsidRPr="00C771B8">
                <w:rPr>
                  <w:rStyle w:val="Hyperlink"/>
                  <w:sz w:val="18"/>
                  <w:szCs w:val="18"/>
                </w:rPr>
                <w:t>in combination with dexamethasone is indicated for the treatment of multiple myeloma patients who are not eligible for stem cell transplant.</w:t>
              </w:r>
            </w:hyperlink>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5F3BE3C0"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416B4D63" w:rsidR="00275E1C" w:rsidRPr="00C771B8" w:rsidRDefault="00275E1C" w:rsidP="0049603D">
            <w:pPr>
              <w:pStyle w:val="DocumentTitle"/>
              <w:tabs>
                <w:tab w:val="left" w:pos="1074"/>
              </w:tabs>
              <w:spacing w:before="0" w:after="0"/>
              <w:rPr>
                <w:sz w:val="18"/>
                <w:szCs w:val="18"/>
                <w:highlight w:val="yellow"/>
              </w:rPr>
            </w:pP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B707749" w:rsidR="00F369F8" w:rsidRPr="00DB3BC3" w:rsidRDefault="00275E1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E</w:t>
            </w:r>
            <w:r w:rsidR="00647D2C" w:rsidRPr="00DB3BC3">
              <w:rPr>
                <w:color w:val="FFFFFF" w:themeColor="background1"/>
                <w:sz w:val="18"/>
                <w:szCs w:val="20"/>
              </w:rPr>
              <w:t xml:space="preserve">uropean </w:t>
            </w:r>
            <w:r w:rsidRPr="00DB3BC3">
              <w:rPr>
                <w:color w:val="FFFFFF" w:themeColor="background1"/>
                <w:sz w:val="18"/>
                <w:szCs w:val="20"/>
              </w:rPr>
              <w:t>M</w:t>
            </w:r>
            <w:r w:rsidR="00647D2C" w:rsidRPr="00DB3BC3">
              <w:rPr>
                <w:color w:val="FFFFFF" w:themeColor="background1"/>
                <w:sz w:val="18"/>
                <w:szCs w:val="20"/>
              </w:rPr>
              <w:t xml:space="preserve">edicines </w:t>
            </w:r>
            <w:r w:rsidRPr="00DB3BC3">
              <w:rPr>
                <w:color w:val="FFFFFF" w:themeColor="background1"/>
                <w:sz w:val="18"/>
                <w:szCs w:val="20"/>
              </w:rPr>
              <w:t>A</w:t>
            </w:r>
            <w:r w:rsidR="00647D2C" w:rsidRPr="00DB3BC3">
              <w:rPr>
                <w:color w:val="FFFFFF" w:themeColor="background1"/>
                <w:sz w:val="18"/>
                <w:szCs w:val="20"/>
              </w:rPr>
              <w:t>gency</w:t>
            </w:r>
            <w:r w:rsidRPr="00DB3BC3">
              <w:rPr>
                <w:color w:val="FFFFFF" w:themeColor="background1"/>
                <w:sz w:val="18"/>
                <w:szCs w:val="20"/>
              </w:rPr>
              <w:t xml:space="preserve"> </w:t>
            </w:r>
            <w:r w:rsidR="00716B05" w:rsidRPr="00DB3BC3">
              <w:rPr>
                <w:color w:val="FFFFFF" w:themeColor="background1"/>
                <w:sz w:val="18"/>
                <w:szCs w:val="20"/>
              </w:rPr>
              <w:t>S</w:t>
            </w:r>
            <w:r w:rsidRPr="00DB3BC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4A559EBB" w:rsidR="00DB3BC3" w:rsidRPr="00C771B8" w:rsidRDefault="00DB3BC3" w:rsidP="0049603D">
            <w:pPr>
              <w:pStyle w:val="DocumentTitle"/>
              <w:tabs>
                <w:tab w:val="left" w:pos="1074"/>
              </w:tabs>
              <w:spacing w:before="0" w:after="0"/>
              <w:rPr>
                <w:sz w:val="18"/>
                <w:szCs w:val="18"/>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C771B8" w:rsidRDefault="003100FC" w:rsidP="00EB0EEF">
            <w:pPr>
              <w:pStyle w:val="DocumentTitle"/>
              <w:tabs>
                <w:tab w:val="left" w:pos="1074"/>
              </w:tabs>
              <w:spacing w:before="0" w:after="0"/>
              <w:rPr>
                <w:color w:val="FFFFFF" w:themeColor="background1"/>
                <w:sz w:val="18"/>
                <w:szCs w:val="20"/>
              </w:rPr>
            </w:pPr>
            <w:r w:rsidRPr="00C771B8">
              <w:rPr>
                <w:color w:val="FFFFFF" w:themeColor="background1"/>
                <w:sz w:val="18"/>
                <w:szCs w:val="20"/>
              </w:rPr>
              <w:t>Practice Guidelines</w:t>
            </w:r>
            <w:r w:rsidR="00D47251" w:rsidRPr="00C771B8">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7F40818" w14:textId="5305AF68" w:rsidR="0049603D" w:rsidRPr="00C771B8" w:rsidRDefault="008737AB" w:rsidP="00DB3BC3">
            <w:pPr>
              <w:pStyle w:val="DocumentTitle"/>
              <w:numPr>
                <w:ilvl w:val="0"/>
                <w:numId w:val="49"/>
              </w:numPr>
              <w:tabs>
                <w:tab w:val="left" w:pos="1074"/>
              </w:tabs>
              <w:spacing w:before="0" w:after="0"/>
              <w:rPr>
                <w:sz w:val="18"/>
                <w:szCs w:val="18"/>
              </w:rPr>
            </w:pPr>
            <w:hyperlink r:id="rId17" w:history="1">
              <w:r w:rsidR="00C771B8" w:rsidRPr="00C771B8">
                <w:rPr>
                  <w:rStyle w:val="Hyperlink"/>
                  <w:sz w:val="18"/>
                  <w:szCs w:val="18"/>
                </w:rPr>
                <w:t>NCCN Multiple Myeloma Guidelines.</w:t>
              </w:r>
            </w:hyperlink>
          </w:p>
          <w:p w14:paraId="17E99E46" w14:textId="00F91CA5" w:rsidR="00420EEA" w:rsidRPr="00C771B8" w:rsidRDefault="00C771B8" w:rsidP="00C771B8">
            <w:pPr>
              <w:pStyle w:val="DocumentTitle"/>
              <w:numPr>
                <w:ilvl w:val="0"/>
                <w:numId w:val="49"/>
              </w:numPr>
              <w:tabs>
                <w:tab w:val="left" w:pos="1074"/>
              </w:tabs>
              <w:spacing w:before="0" w:after="0"/>
              <w:rPr>
                <w:sz w:val="18"/>
                <w:szCs w:val="18"/>
              </w:rPr>
            </w:pPr>
            <w:r w:rsidRPr="00C771B8">
              <w:rPr>
                <w:sz w:val="18"/>
                <w:szCs w:val="18"/>
              </w:rPr>
              <w:t>Multiple Myeloma: ESMO Clinical Practice Guidelines</w:t>
            </w:r>
            <w:r w:rsidR="0049603D" w:rsidRPr="00C771B8">
              <w:rPr>
                <w:sz w:val="18"/>
                <w:szCs w:val="18"/>
              </w:rPr>
              <w:t>.</w:t>
            </w:r>
            <w:r w:rsidRPr="00C771B8">
              <w:rPr>
                <w:sz w:val="18"/>
                <w:szCs w:val="18"/>
              </w:rPr>
              <w:t xml:space="preserve"> </w:t>
            </w:r>
            <w:hyperlink r:id="rId18" w:history="1">
              <w:r w:rsidRPr="00C771B8">
                <w:rPr>
                  <w:rStyle w:val="Hyperlink"/>
                  <w:sz w:val="18"/>
                  <w:szCs w:val="18"/>
                </w:rPr>
                <w:t>Ann Oncol (2017) 28 (suppl 4): iv52–iv61.</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23D2DDC" w:rsidR="008737AB" w:rsidRPr="00223156" w:rsidRDefault="008737AB" w:rsidP="00DB3BC3">
            <w:pPr>
              <w:pStyle w:val="DocumentTitle"/>
              <w:tabs>
                <w:tab w:val="left" w:pos="1074"/>
              </w:tabs>
              <w:spacing w:after="0"/>
              <w:rPr>
                <w:sz w:val="18"/>
                <w:szCs w:val="20"/>
                <w:highlight w:val="yellow"/>
              </w:rPr>
            </w:pPr>
            <w:r w:rsidRPr="008737AB">
              <w:rPr>
                <w:sz w:val="18"/>
                <w:szCs w:val="20"/>
              </w:rPr>
              <w:t>For patients with newly diagnosed multiple myeloma who are not eligible for stem cell transplantation (SCT), the standard of care is lenalidomide plus dexamethasone (Rd), cyclophosphamide/bortezomib/dexamethasone (CyBorD), bortezomib/melphalan/prednisone (VMP), and cyclophosphamide/bortezomib/prednisone (CyBorP). In most provinces, the commonly used treatments are Rd or CyBorD.</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8737AB"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526C1622" w14:textId="77777777" w:rsidR="00837A3D" w:rsidRPr="00223156" w:rsidRDefault="00AB7EB1" w:rsidP="00837A3D">
      <w:pPr>
        <w:pStyle w:val="pCODR1Body"/>
        <w:spacing w:after="0" w:line="276" w:lineRule="auto"/>
        <w:ind w:left="360"/>
        <w:rPr>
          <w:rFonts w:ascii="Arial" w:hAnsi="Arial" w:cs="Arial"/>
          <w:sz w:val="18"/>
        </w:rPr>
      </w:pPr>
      <w:bookmarkStart w:id="8" w:name="_GoBack"/>
      <w:r w:rsidRPr="00223156">
        <w:rPr>
          <w:rFonts w:ascii="Arial" w:hAnsi="Arial" w:cs="Arial"/>
          <w:b/>
          <w:sz w:val="18"/>
        </w:rPr>
        <w:t>4.1.</w:t>
      </w:r>
      <w:r w:rsidRPr="00223156">
        <w:rPr>
          <w:rFonts w:ascii="Arial" w:hAnsi="Arial" w:cs="Arial"/>
          <w:sz w:val="18"/>
        </w:rPr>
        <w:t xml:space="preserve"> </w:t>
      </w:r>
      <w:r w:rsidR="00837A3D" w:rsidRPr="00223156">
        <w:rPr>
          <w:rFonts w:ascii="Arial" w:hAnsi="Arial" w:cs="Arial"/>
          <w:sz w:val="18"/>
        </w:rPr>
        <w:t xml:space="preserve">In regards to question 3.4 above, please consider the optimal sequencing following treatment with RVD, specifically: daratumumab-based regimens, carfilzomib-based regimens, pomalidomide, and/or re-treatment with bortezomib/lenalidomide-based regimens. </w:t>
      </w:r>
    </w:p>
    <w:p w14:paraId="6CC086B1" w14:textId="1F2B38AB" w:rsidR="00837A3D" w:rsidRPr="00223156" w:rsidRDefault="00837A3D" w:rsidP="008737AB">
      <w:pPr>
        <w:pStyle w:val="pCODR1Body"/>
        <w:spacing w:after="0" w:line="276" w:lineRule="auto"/>
        <w:ind w:left="720"/>
        <w:rPr>
          <w:rFonts w:ascii="Arial" w:hAnsi="Arial" w:cs="Arial"/>
          <w:sz w:val="18"/>
        </w:rPr>
      </w:pPr>
      <w:r w:rsidRPr="00223156">
        <w:rPr>
          <w:rFonts w:ascii="Arial" w:hAnsi="Arial" w:cs="Arial"/>
          <w:b/>
          <w:sz w:val="18"/>
        </w:rPr>
        <w:t>4. 1. 1.</w:t>
      </w:r>
      <w:r w:rsidR="008737AB">
        <w:rPr>
          <w:rFonts w:ascii="Arial" w:hAnsi="Arial" w:cs="Arial"/>
          <w:sz w:val="18"/>
        </w:rPr>
        <w:t xml:space="preserve"> P</w:t>
      </w:r>
      <w:r w:rsidRPr="00223156">
        <w:rPr>
          <w:rFonts w:ascii="Arial" w:hAnsi="Arial" w:cs="Arial"/>
          <w:sz w:val="18"/>
        </w:rPr>
        <w:t xml:space="preserve">lease also consider the preferred regimen for initial treatment of </w:t>
      </w:r>
      <w:r w:rsidR="008737AB">
        <w:rPr>
          <w:rFonts w:ascii="Arial" w:hAnsi="Arial" w:cs="Arial"/>
          <w:sz w:val="18"/>
        </w:rPr>
        <w:t>patients who are ineligible for transplant</w:t>
      </w:r>
      <w:r w:rsidRPr="00223156">
        <w:rPr>
          <w:rFonts w:ascii="Arial" w:hAnsi="Arial" w:cs="Arial"/>
          <w:sz w:val="18"/>
        </w:rPr>
        <w:t>, and how RVD compares to other currently available regimens (e.g., daratumumab-based regimens).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223156" w14:paraId="6CA0B0C0" w14:textId="77777777" w:rsidTr="00D3252A">
        <w:trPr>
          <w:trHeight w:val="419"/>
        </w:trPr>
        <w:tc>
          <w:tcPr>
            <w:tcW w:w="10292" w:type="dxa"/>
          </w:tcPr>
          <w:p w14:paraId="17C145D5" w14:textId="77777777" w:rsidR="005A362F" w:rsidRPr="00223156" w:rsidRDefault="005A362F" w:rsidP="005A362F">
            <w:pPr>
              <w:pStyle w:val="pCODR01AppendixHeader"/>
              <w:spacing w:before="0" w:after="0"/>
              <w:rPr>
                <w:rFonts w:ascii="Arial" w:hAnsi="Arial" w:cs="Arial"/>
                <w:spacing w:val="0"/>
              </w:rPr>
            </w:pPr>
          </w:p>
        </w:tc>
      </w:tr>
    </w:tbl>
    <w:p w14:paraId="1A1A6EC6" w14:textId="77777777" w:rsidR="005A362F" w:rsidRPr="00223156" w:rsidRDefault="005A362F" w:rsidP="005A362F">
      <w:pPr>
        <w:pStyle w:val="pCODR1Body"/>
        <w:spacing w:after="0" w:line="276" w:lineRule="auto"/>
        <w:rPr>
          <w:rFonts w:ascii="Arial" w:hAnsi="Arial" w:cs="Arial"/>
          <w:sz w:val="18"/>
        </w:rPr>
      </w:pPr>
    </w:p>
    <w:p w14:paraId="25273641" w14:textId="5256C6F0" w:rsidR="005A362F" w:rsidRPr="00223156" w:rsidRDefault="005A362F" w:rsidP="005A362F">
      <w:pPr>
        <w:pStyle w:val="pCODR1Body"/>
        <w:spacing w:after="0" w:line="276" w:lineRule="auto"/>
        <w:ind w:left="360"/>
        <w:rPr>
          <w:rFonts w:ascii="Arial" w:hAnsi="Arial" w:cs="Arial"/>
          <w:sz w:val="18"/>
        </w:rPr>
      </w:pPr>
      <w:r w:rsidRPr="00223156">
        <w:rPr>
          <w:rFonts w:ascii="Arial" w:hAnsi="Arial" w:cs="Arial"/>
          <w:b/>
          <w:sz w:val="18"/>
        </w:rPr>
        <w:t>4.</w:t>
      </w:r>
      <w:r w:rsidR="0033375D" w:rsidRPr="00223156">
        <w:rPr>
          <w:rFonts w:ascii="Arial" w:hAnsi="Arial" w:cs="Arial"/>
          <w:b/>
          <w:sz w:val="18"/>
        </w:rPr>
        <w:t>2</w:t>
      </w:r>
      <w:r w:rsidRPr="00223156">
        <w:rPr>
          <w:rFonts w:ascii="Arial" w:hAnsi="Arial" w:cs="Arial"/>
          <w:b/>
          <w:sz w:val="18"/>
        </w:rPr>
        <w:t>.</w:t>
      </w:r>
      <w:r w:rsidRPr="00223156">
        <w:rPr>
          <w:rFonts w:ascii="Arial" w:hAnsi="Arial" w:cs="Arial"/>
          <w:sz w:val="18"/>
        </w:rPr>
        <w:tab/>
      </w:r>
      <w:r w:rsidR="00837A3D" w:rsidRPr="00223156">
        <w:rPr>
          <w:rFonts w:ascii="Arial" w:hAnsi="Arial" w:cs="Arial"/>
          <w:sz w:val="18"/>
        </w:rPr>
        <w:t>In clinical practice, is cytogenetic testing routinely completed for patients with multiple myeloma? If yes, how are results used to guide treatment options (i.e., in this setting)?</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223156" w14:paraId="311D4616" w14:textId="77777777" w:rsidTr="00D3252A">
        <w:trPr>
          <w:trHeight w:val="419"/>
        </w:trPr>
        <w:tc>
          <w:tcPr>
            <w:tcW w:w="10292" w:type="dxa"/>
          </w:tcPr>
          <w:p w14:paraId="6C5918E7" w14:textId="77777777" w:rsidR="005A362F" w:rsidRPr="00223156" w:rsidRDefault="005A362F" w:rsidP="005A362F">
            <w:pPr>
              <w:pStyle w:val="pCODR01AppendixHeader"/>
              <w:spacing w:before="0" w:after="0"/>
              <w:rPr>
                <w:rFonts w:ascii="Arial" w:hAnsi="Arial" w:cs="Arial"/>
                <w:spacing w:val="0"/>
              </w:rPr>
            </w:pPr>
          </w:p>
        </w:tc>
      </w:tr>
    </w:tbl>
    <w:p w14:paraId="340DF157" w14:textId="77777777" w:rsidR="005A362F" w:rsidRPr="00223156" w:rsidRDefault="005A362F" w:rsidP="005A362F">
      <w:pPr>
        <w:pStyle w:val="pCODR1Body"/>
        <w:spacing w:after="0" w:line="276" w:lineRule="auto"/>
        <w:rPr>
          <w:rFonts w:ascii="Arial" w:hAnsi="Arial" w:cs="Arial"/>
          <w:sz w:val="18"/>
        </w:rPr>
      </w:pPr>
    </w:p>
    <w:p w14:paraId="28430871" w14:textId="69E49A11" w:rsidR="002C1ACC" w:rsidRPr="00223156" w:rsidRDefault="002C1ACC" w:rsidP="002C1ACC">
      <w:pPr>
        <w:pStyle w:val="pCODR1Body"/>
        <w:spacing w:after="0" w:line="276" w:lineRule="auto"/>
        <w:ind w:left="360"/>
        <w:rPr>
          <w:rFonts w:ascii="Arial" w:hAnsi="Arial" w:cs="Arial"/>
          <w:sz w:val="18"/>
        </w:rPr>
      </w:pPr>
      <w:bookmarkStart w:id="9" w:name="_Toc439923603"/>
      <w:r w:rsidRPr="00223156">
        <w:rPr>
          <w:rFonts w:ascii="Arial" w:hAnsi="Arial" w:cs="Arial"/>
          <w:b/>
          <w:sz w:val="18"/>
        </w:rPr>
        <w:t>4.3.</w:t>
      </w:r>
      <w:r w:rsidRPr="00223156">
        <w:rPr>
          <w:rFonts w:ascii="Arial" w:hAnsi="Arial" w:cs="Arial"/>
          <w:sz w:val="18"/>
        </w:rPr>
        <w:tab/>
      </w:r>
      <w:r w:rsidR="00837A3D" w:rsidRPr="00223156">
        <w:rPr>
          <w:rFonts w:ascii="Arial" w:hAnsi="Arial" w:cs="Arial"/>
          <w:sz w:val="18"/>
        </w:rPr>
        <w:t xml:space="preserve">In clinical practice is there evidence to support the use of RVD in the first-line setting for </w:t>
      </w:r>
      <w:r w:rsidR="008737AB">
        <w:rPr>
          <w:rFonts w:ascii="Arial" w:hAnsi="Arial" w:cs="Arial"/>
          <w:sz w:val="18"/>
        </w:rPr>
        <w:t>patients who are ineligible for transplant</w:t>
      </w:r>
      <w:r w:rsidR="00837A3D" w:rsidRPr="00223156">
        <w:rPr>
          <w:rFonts w:ascii="Arial" w:hAnsi="Arial" w:cs="Arial"/>
          <w:sz w:val="18"/>
        </w:rPr>
        <w:t>?</w:t>
      </w:r>
    </w:p>
    <w:bookmarkEnd w:id="8"/>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2C1ACC" w14:paraId="6E461A05" w14:textId="77777777" w:rsidTr="0032013B">
        <w:trPr>
          <w:trHeight w:val="419"/>
        </w:trPr>
        <w:tc>
          <w:tcPr>
            <w:tcW w:w="10292" w:type="dxa"/>
          </w:tcPr>
          <w:p w14:paraId="2EA79684" w14:textId="77777777" w:rsidR="002C1ACC" w:rsidRDefault="002C1ACC" w:rsidP="0032013B">
            <w:pPr>
              <w:pStyle w:val="pCODR01AppendixHeader"/>
              <w:spacing w:before="0" w:after="0"/>
              <w:rPr>
                <w:rFonts w:ascii="Arial" w:hAnsi="Arial" w:cs="Arial"/>
                <w:spacing w:val="0"/>
              </w:rPr>
            </w:pPr>
          </w:p>
        </w:tc>
      </w:tr>
    </w:tbl>
    <w:p w14:paraId="461B980D" w14:textId="3FE4FA16" w:rsidR="002C1ACC" w:rsidRDefault="002C1ACC">
      <w:pPr>
        <w:rPr>
          <w:rFonts w:ascii="Arial" w:eastAsia="Times New Roman" w:hAnsi="Arial" w:cs="Arial"/>
          <w:b/>
          <w:color w:val="0067B9"/>
          <w:sz w:val="24"/>
          <w:szCs w:val="28"/>
        </w:rPr>
      </w:pPr>
      <w:r>
        <w:rPr>
          <w:b/>
          <w:color w:val="0067B9"/>
          <w:sz w:val="24"/>
          <w:szCs w:val="28"/>
        </w:rPr>
        <w:br w:type="page"/>
      </w:r>
    </w:p>
    <w:p w14:paraId="179EB68B" w14:textId="692B88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75311408" w:rsidR="0033375D" w:rsidRDefault="0033375D">
      <w:pPr>
        <w:rPr>
          <w:rFonts w:ascii="Arial" w:hAnsi="Arial" w:cs="Arial"/>
          <w:sz w:val="18"/>
          <w:szCs w:val="18"/>
        </w:rPr>
      </w:pPr>
    </w:p>
    <w:sectPr w:rsidR="0033375D"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C90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37AB">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37AB">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9DD6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37AB">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37AB">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0FE044B6"/>
    <w:multiLevelType w:val="hybridMultilevel"/>
    <w:tmpl w:val="51C8D8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6347AC"/>
    <w:multiLevelType w:val="hybridMultilevel"/>
    <w:tmpl w:val="CC242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8"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0"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4"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7"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8"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9"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1"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4"/>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7"/>
  </w:num>
  <w:num w:numId="15">
    <w:abstractNumId w:val="46"/>
  </w:num>
  <w:num w:numId="16">
    <w:abstractNumId w:val="29"/>
  </w:num>
  <w:num w:numId="17">
    <w:abstractNumId w:val="35"/>
  </w:num>
  <w:num w:numId="18">
    <w:abstractNumId w:val="51"/>
  </w:num>
  <w:num w:numId="19">
    <w:abstractNumId w:val="33"/>
  </w:num>
  <w:num w:numId="20">
    <w:abstractNumId w:val="11"/>
  </w:num>
  <w:num w:numId="21">
    <w:abstractNumId w:val="9"/>
  </w:num>
  <w:num w:numId="22">
    <w:abstractNumId w:val="32"/>
  </w:num>
  <w:num w:numId="23">
    <w:abstractNumId w:val="49"/>
  </w:num>
  <w:num w:numId="24">
    <w:abstractNumId w:val="15"/>
  </w:num>
  <w:num w:numId="25">
    <w:abstractNumId w:val="28"/>
  </w:num>
  <w:num w:numId="26">
    <w:abstractNumId w:val="40"/>
  </w:num>
  <w:num w:numId="27">
    <w:abstractNumId w:val="21"/>
  </w:num>
  <w:num w:numId="28">
    <w:abstractNumId w:val="26"/>
  </w:num>
  <w:num w:numId="29">
    <w:abstractNumId w:val="17"/>
  </w:num>
  <w:num w:numId="30">
    <w:abstractNumId w:val="47"/>
  </w:num>
  <w:num w:numId="31">
    <w:abstractNumId w:val="42"/>
  </w:num>
  <w:num w:numId="32">
    <w:abstractNumId w:val="50"/>
    <w:lvlOverride w:ilvl="0">
      <w:startOverride w:val="1"/>
    </w:lvlOverride>
  </w:num>
  <w:num w:numId="33">
    <w:abstractNumId w:val="39"/>
    <w:lvlOverride w:ilvl="0">
      <w:startOverride w:val="1"/>
    </w:lvlOverride>
  </w:num>
  <w:num w:numId="34">
    <w:abstractNumId w:val="41"/>
  </w:num>
  <w:num w:numId="35">
    <w:abstractNumId w:val="25"/>
  </w:num>
  <w:num w:numId="36">
    <w:abstractNumId w:val="24"/>
  </w:num>
  <w:num w:numId="37">
    <w:abstractNumId w:val="23"/>
  </w:num>
  <w:num w:numId="38">
    <w:abstractNumId w:val="12"/>
  </w:num>
  <w:num w:numId="39">
    <w:abstractNumId w:val="48"/>
  </w:num>
  <w:num w:numId="40">
    <w:abstractNumId w:val="16"/>
  </w:num>
  <w:num w:numId="41">
    <w:abstractNumId w:val="43"/>
  </w:num>
  <w:num w:numId="42">
    <w:abstractNumId w:val="19"/>
  </w:num>
  <w:num w:numId="43">
    <w:abstractNumId w:val="38"/>
  </w:num>
  <w:num w:numId="44">
    <w:abstractNumId w:val="45"/>
  </w:num>
  <w:num w:numId="45">
    <w:abstractNumId w:val="22"/>
  </w:num>
  <w:num w:numId="46">
    <w:abstractNumId w:val="13"/>
  </w:num>
  <w:num w:numId="47">
    <w:abstractNumId w:val="36"/>
  </w:num>
  <w:num w:numId="48">
    <w:abstractNumId w:val="27"/>
  </w:num>
  <w:num w:numId="49">
    <w:abstractNumId w:val="31"/>
  </w:num>
  <w:num w:numId="50">
    <w:abstractNumId w:val="20"/>
  </w:num>
  <w:num w:numId="51">
    <w:abstractNumId w:val="30"/>
  </w:num>
  <w:num w:numId="52">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1A77"/>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23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1AC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9603D"/>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3F78"/>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A3D"/>
    <w:rsid w:val="00850248"/>
    <w:rsid w:val="00851CEC"/>
    <w:rsid w:val="00852259"/>
    <w:rsid w:val="00862355"/>
    <w:rsid w:val="008624EC"/>
    <w:rsid w:val="00865015"/>
    <w:rsid w:val="00866DE5"/>
    <w:rsid w:val="008737AB"/>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771B8"/>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1725713221">
      <w:bodyDiv w:val="1"/>
      <w:marLeft w:val="0"/>
      <w:marRight w:val="0"/>
      <w:marTop w:val="0"/>
      <w:marBottom w:val="0"/>
      <w:divBdr>
        <w:top w:val="none" w:sz="0" w:space="0" w:color="auto"/>
        <w:left w:val="none" w:sz="0" w:space="0" w:color="auto"/>
        <w:bottom w:val="none" w:sz="0" w:space="0" w:color="auto"/>
        <w:right w:val="none" w:sz="0" w:space="0" w:color="auto"/>
      </w:divBdr>
    </w:div>
    <w:div w:id="1866363408">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esmo.org/Guidelines/Haematological-Malignancies/Multiple-Myelo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myeloma.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dia.celgene.com/content/uploads/sites/23/Revlimid-Product_Monograph_-_English_Vers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lancet.com/journals/lancet/article/PIIS0140-6736(16)31594-X/abstrac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0644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BF3B-3A47-4A43-A5C8-9FC2E983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2018-11-19T17:25:00Z</dcterms:modified>
</cp:coreProperties>
</file>