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3D32E9E1" w:rsidR="00121EB1" w:rsidRPr="00EB0EEF" w:rsidRDefault="00190997" w:rsidP="00EB0EEF">
            <w:pPr>
              <w:pStyle w:val="DocumentTitle"/>
              <w:tabs>
                <w:tab w:val="left" w:pos="1074"/>
              </w:tabs>
              <w:spacing w:before="0" w:after="0"/>
              <w:rPr>
                <w:sz w:val="18"/>
                <w:szCs w:val="20"/>
              </w:rPr>
            </w:pPr>
            <w:r>
              <w:rPr>
                <w:sz w:val="18"/>
                <w:szCs w:val="20"/>
              </w:rPr>
              <w:t>pCODR 10148</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654331A1" w:rsidR="00F369F8" w:rsidRPr="00EB0EEF" w:rsidRDefault="00190997" w:rsidP="00EB0EEF">
            <w:pPr>
              <w:pStyle w:val="DocumentTitle"/>
              <w:tabs>
                <w:tab w:val="left" w:pos="1074"/>
              </w:tabs>
              <w:spacing w:before="0" w:after="0"/>
              <w:rPr>
                <w:sz w:val="18"/>
                <w:szCs w:val="20"/>
              </w:rPr>
            </w:pPr>
            <w:r>
              <w:rPr>
                <w:sz w:val="18"/>
                <w:szCs w:val="20"/>
              </w:rPr>
              <w:t>Daratumumab (Darzalex)</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7126852F" w:rsidR="00190997" w:rsidRPr="00190997" w:rsidRDefault="00190997" w:rsidP="00190997">
            <w:pPr>
              <w:rPr>
                <w:rFonts w:ascii="Arial" w:eastAsia="Calibri" w:hAnsi="Arial" w:cs="Arial"/>
                <w:b/>
                <w:sz w:val="18"/>
              </w:rPr>
            </w:pPr>
            <w:r>
              <w:rPr>
                <w:rFonts w:ascii="Arial" w:eastAsia="Calibri" w:hAnsi="Arial" w:cs="Arial"/>
                <w:b/>
                <w:sz w:val="18"/>
              </w:rPr>
              <w:t>Multiple Myeloma</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EC6FA01" w14:textId="77777777" w:rsidR="00190997" w:rsidRDefault="00190997" w:rsidP="00190997">
            <w:pPr>
              <w:pStyle w:val="DocumentTitle"/>
              <w:tabs>
                <w:tab w:val="left" w:pos="1074"/>
              </w:tabs>
              <w:spacing w:before="0" w:after="0"/>
              <w:rPr>
                <w:sz w:val="18"/>
                <w:szCs w:val="20"/>
              </w:rPr>
            </w:pPr>
            <w:r>
              <w:rPr>
                <w:sz w:val="18"/>
                <w:szCs w:val="20"/>
              </w:rPr>
              <w:t>I</w:t>
            </w:r>
            <w:r w:rsidRPr="00190997">
              <w:rPr>
                <w:sz w:val="18"/>
                <w:szCs w:val="20"/>
              </w:rPr>
              <w:t>n combination with bortezomib, melphalan and prednisone, for the treatment of patients with newly diagnosed multiple myeloma who are not suitable for autologous stem cell transplant.</w:t>
            </w:r>
          </w:p>
          <w:p w14:paraId="09887E5F" w14:textId="0271A3C0" w:rsidR="00F369F8" w:rsidRPr="00EB0EEF" w:rsidRDefault="00190997" w:rsidP="00190997">
            <w:pPr>
              <w:pStyle w:val="DocumentTitle"/>
              <w:numPr>
                <w:ilvl w:val="0"/>
                <w:numId w:val="48"/>
              </w:numPr>
              <w:tabs>
                <w:tab w:val="left" w:pos="1074"/>
              </w:tabs>
              <w:spacing w:before="0" w:after="0"/>
              <w:rPr>
                <w:sz w:val="18"/>
                <w:szCs w:val="20"/>
              </w:rPr>
            </w:pPr>
            <w:r w:rsidRPr="00190997">
              <w:rPr>
                <w:sz w:val="18"/>
                <w:szCs w:val="20"/>
              </w:rPr>
              <w:t>Based on the provincial protocol or patient-specific factors, the use of cyclophosphamide, bortezomib, dexamethasone (CyBorD) in place of VMP should be considered, where appropriate and as determined by the clinician, within each jurisdiction</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54043818" w14:textId="75A26AAC" w:rsidR="00190997" w:rsidRPr="00190997" w:rsidRDefault="00190997" w:rsidP="00190997">
            <w:pPr>
              <w:pStyle w:val="DocumentTitle"/>
              <w:numPr>
                <w:ilvl w:val="0"/>
                <w:numId w:val="44"/>
              </w:numPr>
              <w:tabs>
                <w:tab w:val="left" w:pos="1074"/>
              </w:tabs>
              <w:spacing w:before="0" w:after="0"/>
              <w:rPr>
                <w:sz w:val="18"/>
                <w:szCs w:val="18"/>
              </w:rPr>
            </w:pPr>
            <w:r w:rsidRPr="00190997">
              <w:rPr>
                <w:sz w:val="18"/>
                <w:szCs w:val="18"/>
              </w:rPr>
              <w:t>ALCYONE (</w:t>
            </w:r>
            <w:hyperlink r:id="rId14" w:history="1">
              <w:r w:rsidRPr="00190997">
                <w:rPr>
                  <w:rStyle w:val="Hyperlink"/>
                  <w:sz w:val="18"/>
                  <w:szCs w:val="18"/>
                </w:rPr>
                <w:t>NCT02195479</w:t>
              </w:r>
            </w:hyperlink>
            <w:r w:rsidRPr="00190997">
              <w:rPr>
                <w:sz w:val="18"/>
                <w:szCs w:val="18"/>
              </w:rPr>
              <w:t>)</w:t>
            </w:r>
          </w:p>
          <w:p w14:paraId="52AF8FBD" w14:textId="2B38B3E4" w:rsidR="00CC380E" w:rsidRPr="00190997" w:rsidRDefault="00AB7EB1" w:rsidP="00190997">
            <w:pPr>
              <w:pStyle w:val="DocumentTitle"/>
              <w:numPr>
                <w:ilvl w:val="0"/>
                <w:numId w:val="44"/>
              </w:numPr>
              <w:tabs>
                <w:tab w:val="left" w:pos="1074"/>
              </w:tabs>
              <w:spacing w:before="0" w:after="0"/>
              <w:rPr>
                <w:sz w:val="18"/>
                <w:szCs w:val="20"/>
              </w:rPr>
            </w:pPr>
            <w:hyperlink r:id="rId15" w:tgtFrame="_blank" w:history="1">
              <w:r w:rsidR="00190997" w:rsidRPr="00190997">
                <w:rPr>
                  <w:rStyle w:val="Hyperlink"/>
                  <w:sz w:val="18"/>
                  <w:szCs w:val="18"/>
                  <w:bdr w:val="none" w:sz="0" w:space="0" w:color="auto" w:frame="1"/>
                  <w:shd w:val="clear" w:color="auto" w:fill="FFFFFF"/>
                </w:rPr>
                <w:t>Mateos et al, Blood 2017</w:t>
              </w:r>
            </w:hyperlink>
            <w:r w:rsidR="00190997" w:rsidRPr="00190997">
              <w:rPr>
                <w:color w:val="000000"/>
                <w:sz w:val="18"/>
                <w:szCs w:val="18"/>
                <w:shd w:val="clear" w:color="auto" w:fill="FFFFFF"/>
              </w:rPr>
              <w:t> and </w:t>
            </w:r>
            <w:hyperlink r:id="rId16" w:tgtFrame="_blank" w:history="1">
              <w:r w:rsidR="00190997" w:rsidRPr="00190997">
                <w:rPr>
                  <w:rStyle w:val="Hyperlink"/>
                  <w:sz w:val="18"/>
                  <w:szCs w:val="18"/>
                  <w:bdr w:val="none" w:sz="0" w:space="0" w:color="auto" w:frame="1"/>
                  <w:shd w:val="clear" w:color="auto" w:fill="FFFFFF"/>
                </w:rPr>
                <w:t>Mateos et al, NEJM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1910FCAE" w:rsidR="00275E1C" w:rsidRPr="00190997" w:rsidRDefault="00040CCD" w:rsidP="00040CCD">
            <w:pPr>
              <w:pStyle w:val="DocumentTitle"/>
              <w:tabs>
                <w:tab w:val="left" w:pos="1074"/>
              </w:tabs>
              <w:spacing w:before="0" w:after="0"/>
              <w:rPr>
                <w:sz w:val="18"/>
                <w:szCs w:val="20"/>
              </w:rPr>
            </w:pPr>
            <w:r>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12BC5D69" w14:textId="77777777" w:rsidR="00040CCD" w:rsidRDefault="00040CCD" w:rsidP="00040CCD">
            <w:pPr>
              <w:pStyle w:val="DocumentTitle"/>
              <w:tabs>
                <w:tab w:val="left" w:pos="1074"/>
              </w:tabs>
              <w:spacing w:before="0" w:after="0"/>
              <w:rPr>
                <w:sz w:val="18"/>
                <w:szCs w:val="20"/>
              </w:rPr>
            </w:pPr>
            <w:r>
              <w:rPr>
                <w:sz w:val="18"/>
                <w:szCs w:val="20"/>
              </w:rPr>
              <w:t>May 7, 2018</w:t>
            </w:r>
          </w:p>
          <w:p w14:paraId="58B46416" w14:textId="77777777" w:rsidR="00040CCD" w:rsidRDefault="00040CCD" w:rsidP="00040CCD">
            <w:pPr>
              <w:pStyle w:val="DocumentTitle"/>
              <w:tabs>
                <w:tab w:val="left" w:pos="1074"/>
              </w:tabs>
              <w:spacing w:before="0" w:after="0"/>
              <w:rPr>
                <w:sz w:val="18"/>
                <w:szCs w:val="20"/>
              </w:rPr>
            </w:pPr>
          </w:p>
          <w:p w14:paraId="2EE07483" w14:textId="61BBEFF8" w:rsidR="00275E1C" w:rsidRPr="00190997" w:rsidRDefault="00AB7EB1" w:rsidP="00040CCD">
            <w:pPr>
              <w:pStyle w:val="DocumentTitle"/>
              <w:tabs>
                <w:tab w:val="left" w:pos="1074"/>
              </w:tabs>
              <w:spacing w:after="0"/>
              <w:rPr>
                <w:sz w:val="18"/>
                <w:szCs w:val="20"/>
              </w:rPr>
            </w:pPr>
            <w:hyperlink r:id="rId17" w:history="1">
              <w:r w:rsidR="00040CCD" w:rsidRPr="009A59AA">
                <w:rPr>
                  <w:rStyle w:val="Hyperlink"/>
                  <w:sz w:val="18"/>
                  <w:szCs w:val="20"/>
                </w:rPr>
                <w:t>in combination with bortezomib, melphalan and prednisone for the treatment of patients with newly diagnosed multiple myeloma who are ineligible for autologous stem cell transplant.</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B707749"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01F1DEF4" w:rsidR="00F369F8" w:rsidRPr="00190997" w:rsidRDefault="00F369F8" w:rsidP="00EB0EEF">
            <w:pPr>
              <w:pStyle w:val="DocumentTitle"/>
              <w:tabs>
                <w:tab w:val="left" w:pos="1074"/>
              </w:tabs>
              <w:spacing w:before="0" w:after="0"/>
              <w:rPr>
                <w:sz w:val="18"/>
                <w:szCs w:val="20"/>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66AF2534" w14:textId="352A6B99" w:rsidR="009A59AA" w:rsidRDefault="00AB7EB1" w:rsidP="009A59AA">
            <w:pPr>
              <w:pStyle w:val="DocumentTitle"/>
              <w:numPr>
                <w:ilvl w:val="0"/>
                <w:numId w:val="49"/>
              </w:numPr>
              <w:tabs>
                <w:tab w:val="left" w:pos="1074"/>
              </w:tabs>
              <w:spacing w:before="0" w:after="0"/>
              <w:rPr>
                <w:sz w:val="18"/>
                <w:szCs w:val="20"/>
              </w:rPr>
            </w:pPr>
            <w:hyperlink r:id="rId18" w:history="1">
              <w:r w:rsidR="009A59AA">
                <w:rPr>
                  <w:rStyle w:val="Hyperlink"/>
                  <w:sz w:val="18"/>
                  <w:szCs w:val="20"/>
                </w:rPr>
                <w:t>NCCN myeloma guidelines.</w:t>
              </w:r>
            </w:hyperlink>
          </w:p>
          <w:p w14:paraId="69664700" w14:textId="77777777" w:rsidR="009A59AA" w:rsidRDefault="009A59AA" w:rsidP="009A59AA">
            <w:pPr>
              <w:pStyle w:val="DocumentTitle"/>
              <w:numPr>
                <w:ilvl w:val="0"/>
                <w:numId w:val="49"/>
              </w:numPr>
              <w:tabs>
                <w:tab w:val="left" w:pos="1074"/>
              </w:tabs>
              <w:spacing w:before="0" w:after="0"/>
              <w:rPr>
                <w:sz w:val="18"/>
                <w:szCs w:val="20"/>
              </w:rPr>
            </w:pPr>
            <w:r w:rsidRPr="009A59AA">
              <w:rPr>
                <w:sz w:val="18"/>
                <w:szCs w:val="20"/>
              </w:rPr>
              <w:t>Role of Bone-Modifying Agents in Multiple Myeloma: American Society of Clinical Oncology Clinical Practice Guideline Update</w:t>
            </w:r>
            <w:r>
              <w:rPr>
                <w:sz w:val="18"/>
                <w:szCs w:val="20"/>
              </w:rPr>
              <w:t xml:space="preserve">. </w:t>
            </w:r>
            <w:hyperlink r:id="rId19" w:history="1">
              <w:r w:rsidRPr="009A59AA">
                <w:rPr>
                  <w:rStyle w:val="Hyperlink"/>
                  <w:sz w:val="18"/>
                  <w:szCs w:val="20"/>
                </w:rPr>
                <w:t>Journal of Clinical Oncology 36, no. 8 (March 2018) 812-818.</w:t>
              </w:r>
            </w:hyperlink>
          </w:p>
          <w:p w14:paraId="17E99E46" w14:textId="3145A993" w:rsidR="00420EEA" w:rsidRPr="009A59AA" w:rsidRDefault="009A59AA" w:rsidP="009A59AA">
            <w:pPr>
              <w:pStyle w:val="DocumentTitle"/>
              <w:numPr>
                <w:ilvl w:val="0"/>
                <w:numId w:val="49"/>
              </w:numPr>
              <w:tabs>
                <w:tab w:val="left" w:pos="1074"/>
              </w:tabs>
              <w:spacing w:before="0" w:after="0"/>
              <w:rPr>
                <w:sz w:val="18"/>
                <w:szCs w:val="20"/>
              </w:rPr>
            </w:pPr>
            <w:r w:rsidRPr="009A59AA">
              <w:rPr>
                <w:sz w:val="18"/>
                <w:szCs w:val="20"/>
              </w:rPr>
              <w:t>Multiple Myeloma: ESMO Clinical Practice Guidelines</w:t>
            </w:r>
            <w:r>
              <w:rPr>
                <w:sz w:val="18"/>
                <w:szCs w:val="20"/>
              </w:rPr>
              <w:t xml:space="preserve">. </w:t>
            </w:r>
            <w:hyperlink r:id="rId20" w:history="1">
              <w:r w:rsidRPr="009A59AA">
                <w:rPr>
                  <w:rStyle w:val="Hyperlink"/>
                  <w:sz w:val="18"/>
                  <w:szCs w:val="20"/>
                </w:rPr>
                <w:t>Ann Oncol (2017) 28 (suppl 4): iv52–iv61.</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02CD1F87" w:rsidR="00420EEA" w:rsidRPr="00190997" w:rsidRDefault="009A59AA" w:rsidP="009A59AA">
            <w:pPr>
              <w:pStyle w:val="DocumentTitle"/>
              <w:tabs>
                <w:tab w:val="left" w:pos="1074"/>
              </w:tabs>
              <w:spacing w:after="0"/>
              <w:rPr>
                <w:sz w:val="18"/>
                <w:szCs w:val="20"/>
              </w:rPr>
            </w:pPr>
            <w:r w:rsidRPr="009A59AA">
              <w:rPr>
                <w:sz w:val="18"/>
                <w:szCs w:val="20"/>
              </w:rPr>
              <w:t>Bortezomib/melphalan/prednisone (VMP), cyclophosphamide/bortezomib/dexamethasone (CyBorD), and lenalidomide/dexamethasone (Rd) are funded in all the provinces for patients with newly diagnosed multiple myeloma who are not suitable for au</w:t>
            </w:r>
            <w:r>
              <w:rPr>
                <w:sz w:val="18"/>
                <w:szCs w:val="20"/>
              </w:rPr>
              <w:t xml:space="preserve">tologous stem cell transplant. </w:t>
            </w:r>
            <w:r w:rsidRPr="009A59AA">
              <w:rPr>
                <w:sz w:val="18"/>
                <w:szCs w:val="20"/>
              </w:rPr>
              <w:t xml:space="preserve">CyBorD is the current treatment of choice for patients with newly diagnosed multiple myeloma </w:t>
            </w:r>
            <w:r>
              <w:rPr>
                <w:sz w:val="18"/>
                <w:szCs w:val="20"/>
              </w:rPr>
              <w:t>that are transplant ineligible.</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AB7EB1"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179872B8" w14:textId="5E0577D3" w:rsidR="00AB7EB1" w:rsidRDefault="00AB7EB1" w:rsidP="00AB7EB1">
      <w:pPr>
        <w:pStyle w:val="pCODR1Body"/>
        <w:spacing w:after="0" w:line="276" w:lineRule="auto"/>
        <w:ind w:left="360"/>
        <w:rPr>
          <w:rFonts w:ascii="Arial" w:hAnsi="Arial" w:cs="Arial"/>
          <w:sz w:val="18"/>
        </w:rPr>
      </w:pPr>
      <w:r w:rsidRPr="00AB7EB1">
        <w:rPr>
          <w:rFonts w:ascii="Arial" w:hAnsi="Arial" w:cs="Arial"/>
          <w:b/>
          <w:sz w:val="18"/>
        </w:rPr>
        <w:t>4.1</w:t>
      </w:r>
      <w:r w:rsidRPr="00AB7EB1">
        <w:rPr>
          <w:rFonts w:ascii="Arial" w:hAnsi="Arial" w:cs="Arial"/>
          <w:b/>
          <w:sz w:val="18"/>
        </w:rPr>
        <w:t>.</w:t>
      </w:r>
      <w:r w:rsidRPr="00AB7EB1">
        <w:rPr>
          <w:rFonts w:ascii="Arial" w:hAnsi="Arial" w:cs="Arial"/>
          <w:sz w:val="18"/>
        </w:rPr>
        <w:t xml:space="preserve"> In regards to question 3.4 above, please consider the optimal sequencing following treatment with DVMP, specifically: re-treatment with daratumumab-based regimens, carfilzomib-based regimens, lenalidomide-dexamethasone, pomalidomide, and/or re-treatment with bortezomib-based regimens.  In addition, please also consider the preferred regimen for initial treatment of transplant ineligible patients, and how DVMP compares to other currently available regimens</w:t>
      </w:r>
      <w:r>
        <w:rPr>
          <w:rFonts w:ascii="Arial" w:hAnsi="Arial" w:cs="Arial"/>
          <w:sz w:val="18"/>
        </w:rPr>
        <w:t>.</w:t>
      </w:r>
    </w:p>
    <w:p w14:paraId="293DF87E" w14:textId="77777777" w:rsidR="00AB7EB1" w:rsidRDefault="00AB7EB1" w:rsidP="00AB7EB1">
      <w:pPr>
        <w:pStyle w:val="pCODR1Body"/>
        <w:spacing w:after="0" w:line="276" w:lineRule="auto"/>
        <w:ind w:left="360"/>
        <w:rPr>
          <w:rFonts w:ascii="Arial" w:hAnsi="Arial" w:cs="Arial"/>
          <w:sz w:val="18"/>
        </w:rPr>
      </w:pPr>
    </w:p>
    <w:p w14:paraId="7DC8B47E" w14:textId="531377E4" w:rsidR="005A362F" w:rsidRPr="00AB7EB1" w:rsidRDefault="005A362F" w:rsidP="00AB7EB1">
      <w:pPr>
        <w:pStyle w:val="pCODR1Body"/>
        <w:spacing w:after="0" w:line="276" w:lineRule="auto"/>
        <w:ind w:left="360"/>
        <w:rPr>
          <w:rFonts w:ascii="Arial" w:hAnsi="Arial" w:cs="Arial"/>
          <w:b/>
          <w:sz w:val="18"/>
        </w:rPr>
      </w:pPr>
      <w:r>
        <w:rPr>
          <w:rFonts w:ascii="Arial" w:hAnsi="Arial" w:cs="Arial"/>
          <w:b/>
          <w:sz w:val="18"/>
        </w:rPr>
        <w:t>4</w:t>
      </w:r>
      <w:r w:rsidR="00AB7EB1">
        <w:rPr>
          <w:rFonts w:ascii="Arial" w:hAnsi="Arial" w:cs="Arial"/>
          <w:b/>
          <w:sz w:val="18"/>
        </w:rPr>
        <w:t>.2</w:t>
      </w:r>
      <w:r>
        <w:rPr>
          <w:rFonts w:ascii="Arial" w:hAnsi="Arial" w:cs="Arial"/>
          <w:b/>
          <w:sz w:val="18"/>
        </w:rPr>
        <w:t xml:space="preserve">. </w:t>
      </w:r>
      <w:r w:rsidR="00882AFE">
        <w:rPr>
          <w:rFonts w:ascii="Arial" w:hAnsi="Arial" w:cs="Arial"/>
          <w:sz w:val="18"/>
        </w:rPr>
        <w:t>In clinical practice, would you want to</w:t>
      </w:r>
      <w:r w:rsidR="00882AFE">
        <w:rPr>
          <w:rFonts w:ascii="Arial" w:hAnsi="Arial" w:cs="Arial"/>
          <w:b/>
          <w:sz w:val="18"/>
        </w:rPr>
        <w:t xml:space="preserve"> </w:t>
      </w:r>
      <w:r w:rsidR="00882AFE">
        <w:rPr>
          <w:rFonts w:ascii="Arial" w:hAnsi="Arial" w:cs="Arial"/>
          <w:sz w:val="18"/>
        </w:rPr>
        <w:t>extend the use of daratumumab to other first-line regimens that are standardly used (e.g., weekly bortezomib regimens such as CyBorD, Rd)? If so, are you aware of any evidence of daratumumab use with other regimens?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14:paraId="6CA0B0C0" w14:textId="77777777" w:rsidTr="00D3252A">
        <w:trPr>
          <w:trHeight w:val="419"/>
        </w:trPr>
        <w:tc>
          <w:tcPr>
            <w:tcW w:w="10292" w:type="dxa"/>
          </w:tcPr>
          <w:p w14:paraId="17C145D5" w14:textId="77777777" w:rsidR="005A362F" w:rsidRDefault="005A362F" w:rsidP="005A362F">
            <w:pPr>
              <w:pStyle w:val="pCODR01AppendixHeader"/>
              <w:spacing w:before="0" w:after="0"/>
              <w:rPr>
                <w:rFonts w:ascii="Arial" w:hAnsi="Arial" w:cs="Arial"/>
                <w:spacing w:val="0"/>
              </w:rPr>
            </w:pPr>
          </w:p>
        </w:tc>
      </w:tr>
    </w:tbl>
    <w:p w14:paraId="1A1A6EC6" w14:textId="77777777" w:rsidR="005A362F" w:rsidRDefault="005A362F" w:rsidP="005A362F">
      <w:pPr>
        <w:pStyle w:val="pCODR1Body"/>
        <w:spacing w:after="0" w:line="276" w:lineRule="auto"/>
        <w:rPr>
          <w:rFonts w:ascii="Arial" w:hAnsi="Arial" w:cs="Arial"/>
          <w:sz w:val="18"/>
        </w:rPr>
      </w:pPr>
    </w:p>
    <w:p w14:paraId="25273641" w14:textId="38D0BFBB" w:rsidR="005A362F" w:rsidRDefault="005A362F" w:rsidP="005A362F">
      <w:pPr>
        <w:pStyle w:val="pCODR1Body"/>
        <w:spacing w:after="0" w:line="276" w:lineRule="auto"/>
        <w:ind w:left="360"/>
        <w:rPr>
          <w:rFonts w:ascii="Arial" w:hAnsi="Arial" w:cs="Arial"/>
          <w:sz w:val="18"/>
        </w:rPr>
      </w:pPr>
      <w:r>
        <w:rPr>
          <w:rFonts w:ascii="Arial" w:hAnsi="Arial" w:cs="Arial"/>
          <w:b/>
          <w:sz w:val="18"/>
        </w:rPr>
        <w:t>4.</w:t>
      </w:r>
      <w:r w:rsidR="00AB7EB1">
        <w:rPr>
          <w:rFonts w:ascii="Arial" w:hAnsi="Arial" w:cs="Arial"/>
          <w:b/>
          <w:sz w:val="18"/>
        </w:rPr>
        <w:t>3</w:t>
      </w:r>
      <w:r>
        <w:rPr>
          <w:rFonts w:ascii="Arial" w:hAnsi="Arial" w:cs="Arial"/>
          <w:b/>
          <w:sz w:val="18"/>
        </w:rPr>
        <w:t>.</w:t>
      </w:r>
      <w:r w:rsidRPr="005A362F">
        <w:rPr>
          <w:rFonts w:ascii="Arial" w:hAnsi="Arial" w:cs="Arial"/>
          <w:sz w:val="18"/>
        </w:rPr>
        <w:tab/>
      </w:r>
      <w:r w:rsidR="00882AFE">
        <w:rPr>
          <w:rFonts w:ascii="Arial" w:hAnsi="Arial" w:cs="Arial"/>
          <w:sz w:val="18"/>
        </w:rPr>
        <w:t xml:space="preserve">In clinical practice, if daratumumab was available, would your preference be to use </w:t>
      </w:r>
      <w:r w:rsidRPr="005A362F">
        <w:rPr>
          <w:rFonts w:ascii="Arial" w:hAnsi="Arial" w:cs="Arial"/>
          <w:sz w:val="18"/>
        </w:rPr>
        <w:t>daratumumab in the first-line setting or reserve daratumumab for downstream treatment for relapsed/refractory myeloma?</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14:paraId="311D4616" w14:textId="77777777" w:rsidTr="00D3252A">
        <w:trPr>
          <w:trHeight w:val="419"/>
        </w:trPr>
        <w:tc>
          <w:tcPr>
            <w:tcW w:w="10292" w:type="dxa"/>
          </w:tcPr>
          <w:p w14:paraId="6C5918E7" w14:textId="77777777" w:rsidR="005A362F" w:rsidRDefault="005A362F" w:rsidP="005A362F">
            <w:pPr>
              <w:pStyle w:val="pCODR01AppendixHeader"/>
              <w:spacing w:before="0" w:after="0"/>
              <w:rPr>
                <w:rFonts w:ascii="Arial" w:hAnsi="Arial" w:cs="Arial"/>
                <w:spacing w:val="0"/>
              </w:rPr>
            </w:pPr>
          </w:p>
        </w:tc>
      </w:tr>
    </w:tbl>
    <w:p w14:paraId="340DF157" w14:textId="77777777" w:rsidR="005A362F" w:rsidRDefault="005A362F" w:rsidP="005A362F">
      <w:pPr>
        <w:pStyle w:val="pCODR1Body"/>
        <w:spacing w:after="0" w:line="276" w:lineRule="auto"/>
        <w:rPr>
          <w:rFonts w:ascii="Arial" w:hAnsi="Arial" w:cs="Arial"/>
          <w:sz w:val="18"/>
        </w:rPr>
      </w:pPr>
    </w:p>
    <w:p w14:paraId="531080B4" w14:textId="43430065" w:rsidR="005A362F" w:rsidRDefault="005A362F" w:rsidP="005A362F">
      <w:pPr>
        <w:pStyle w:val="pCODR1Body"/>
        <w:spacing w:after="0" w:line="276" w:lineRule="auto"/>
        <w:ind w:left="360"/>
        <w:rPr>
          <w:rFonts w:ascii="Arial" w:hAnsi="Arial" w:cs="Arial"/>
          <w:sz w:val="18"/>
        </w:rPr>
      </w:pPr>
      <w:r>
        <w:rPr>
          <w:rFonts w:ascii="Arial" w:hAnsi="Arial" w:cs="Arial"/>
          <w:b/>
          <w:sz w:val="18"/>
        </w:rPr>
        <w:lastRenderedPageBreak/>
        <w:t>4.</w:t>
      </w:r>
      <w:r w:rsidR="00AB7EB1">
        <w:rPr>
          <w:rFonts w:ascii="Arial" w:hAnsi="Arial" w:cs="Arial"/>
          <w:b/>
          <w:sz w:val="18"/>
        </w:rPr>
        <w:t>4</w:t>
      </w:r>
      <w:r>
        <w:rPr>
          <w:rFonts w:ascii="Arial" w:hAnsi="Arial" w:cs="Arial"/>
          <w:b/>
          <w:sz w:val="18"/>
        </w:rPr>
        <w:t xml:space="preserve">. </w:t>
      </w:r>
      <w:r w:rsidR="00882AFE">
        <w:rPr>
          <w:rFonts w:ascii="Arial" w:hAnsi="Arial" w:cs="Arial"/>
          <w:sz w:val="18"/>
        </w:rPr>
        <w:t>H</w:t>
      </w:r>
      <w:r w:rsidRPr="005A362F">
        <w:rPr>
          <w:rFonts w:ascii="Arial" w:hAnsi="Arial" w:cs="Arial"/>
          <w:sz w:val="18"/>
        </w:rPr>
        <w:t>ow do you foresee the use of daratumumab in patients who are currently on lenalidomide-dexamethasone in the 1st-line setting</w:t>
      </w:r>
      <w:r w:rsidR="00882AFE">
        <w:rPr>
          <w:rFonts w:ascii="Arial" w:hAnsi="Arial" w:cs="Arial"/>
          <w:sz w:val="18"/>
        </w:rPr>
        <w:t xml:space="preserve"> and not eligible for transplant</w:t>
      </w:r>
      <w:r w:rsidRPr="005A362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14:paraId="49FA5D18" w14:textId="77777777" w:rsidTr="00D3252A">
        <w:trPr>
          <w:trHeight w:val="419"/>
        </w:trPr>
        <w:tc>
          <w:tcPr>
            <w:tcW w:w="10292" w:type="dxa"/>
          </w:tcPr>
          <w:p w14:paraId="3B265E3F" w14:textId="77777777" w:rsidR="005A362F" w:rsidRDefault="005A362F" w:rsidP="005A362F">
            <w:pPr>
              <w:pStyle w:val="pCODR01AppendixHeader"/>
              <w:spacing w:before="0" w:after="0"/>
              <w:rPr>
                <w:rFonts w:ascii="Arial" w:hAnsi="Arial" w:cs="Arial"/>
                <w:spacing w:val="0"/>
              </w:rPr>
            </w:pPr>
          </w:p>
        </w:tc>
      </w:tr>
    </w:tbl>
    <w:p w14:paraId="3BB9697C" w14:textId="77777777" w:rsidR="005A362F" w:rsidRDefault="005A362F" w:rsidP="005A362F">
      <w:pPr>
        <w:pStyle w:val="pCODR1Body"/>
        <w:spacing w:after="0" w:line="276" w:lineRule="auto"/>
        <w:rPr>
          <w:rFonts w:ascii="Arial" w:hAnsi="Arial" w:cs="Arial"/>
          <w:sz w:val="18"/>
        </w:rPr>
      </w:pPr>
    </w:p>
    <w:p w14:paraId="64C8C1DF" w14:textId="63FDEBAD" w:rsidR="005A362F" w:rsidRDefault="005A362F" w:rsidP="005A362F">
      <w:pPr>
        <w:pStyle w:val="pCODR1Body"/>
        <w:spacing w:after="0" w:line="276" w:lineRule="auto"/>
        <w:ind w:left="360"/>
        <w:rPr>
          <w:rFonts w:ascii="Arial" w:hAnsi="Arial" w:cs="Arial"/>
          <w:sz w:val="18"/>
        </w:rPr>
      </w:pPr>
      <w:r>
        <w:rPr>
          <w:rFonts w:ascii="Arial" w:hAnsi="Arial" w:cs="Arial"/>
          <w:b/>
          <w:sz w:val="18"/>
        </w:rPr>
        <w:t>4.</w:t>
      </w:r>
      <w:r w:rsidR="00AB7EB1">
        <w:rPr>
          <w:rFonts w:ascii="Arial" w:hAnsi="Arial" w:cs="Arial"/>
          <w:b/>
          <w:sz w:val="18"/>
        </w:rPr>
        <w:t>5</w:t>
      </w:r>
      <w:r>
        <w:rPr>
          <w:rFonts w:ascii="Arial" w:hAnsi="Arial" w:cs="Arial"/>
          <w:b/>
          <w:sz w:val="18"/>
        </w:rPr>
        <w:t xml:space="preserve">. </w:t>
      </w:r>
      <w:r w:rsidRPr="005A362F">
        <w:rPr>
          <w:rFonts w:ascii="Arial" w:hAnsi="Arial" w:cs="Arial"/>
          <w:sz w:val="18"/>
        </w:rPr>
        <w:t>Is bortezomib maintenance starting with cycle 10 in combination with daratumumab recommended in this patient setting?</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14:paraId="324481F1" w14:textId="77777777" w:rsidTr="00D3252A">
        <w:trPr>
          <w:trHeight w:val="419"/>
        </w:trPr>
        <w:tc>
          <w:tcPr>
            <w:tcW w:w="10292" w:type="dxa"/>
          </w:tcPr>
          <w:p w14:paraId="04C26FB7" w14:textId="77777777" w:rsidR="005A362F" w:rsidRDefault="005A362F" w:rsidP="005A362F">
            <w:pPr>
              <w:pStyle w:val="pCODR01AppendixHeader"/>
              <w:spacing w:before="0" w:after="0"/>
              <w:rPr>
                <w:rFonts w:ascii="Arial" w:hAnsi="Arial" w:cs="Arial"/>
                <w:spacing w:val="0"/>
              </w:rPr>
            </w:pPr>
          </w:p>
        </w:tc>
      </w:tr>
    </w:tbl>
    <w:p w14:paraId="785468EF" w14:textId="52E44363" w:rsidR="005A362F" w:rsidRPr="005A362F" w:rsidRDefault="005A362F" w:rsidP="005A362F">
      <w:pPr>
        <w:pStyle w:val="pCODR1Body"/>
        <w:spacing w:after="0" w:line="276" w:lineRule="auto"/>
        <w:rPr>
          <w:rFonts w:ascii="Arial" w:hAnsi="Arial" w:cs="Arial"/>
          <w:sz w:val="18"/>
        </w:rPr>
      </w:pPr>
    </w:p>
    <w:p w14:paraId="00F966F4" w14:textId="0C8568AD" w:rsidR="00B44453" w:rsidRPr="00EB0EEF" w:rsidRDefault="005A362F" w:rsidP="005A362F">
      <w:pPr>
        <w:pStyle w:val="pCODR1Body"/>
        <w:spacing w:after="0" w:line="276" w:lineRule="auto"/>
        <w:ind w:left="360"/>
        <w:rPr>
          <w:rFonts w:ascii="Arial" w:hAnsi="Arial" w:cs="Arial"/>
          <w:sz w:val="18"/>
        </w:rPr>
      </w:pPr>
      <w:r>
        <w:rPr>
          <w:rFonts w:ascii="Arial" w:hAnsi="Arial" w:cs="Arial"/>
          <w:b/>
          <w:sz w:val="18"/>
        </w:rPr>
        <w:t>4.</w:t>
      </w:r>
      <w:r w:rsidR="00AB7EB1">
        <w:rPr>
          <w:rFonts w:ascii="Arial" w:hAnsi="Arial" w:cs="Arial"/>
          <w:b/>
          <w:sz w:val="18"/>
        </w:rPr>
        <w:t>6</w:t>
      </w:r>
      <w:r>
        <w:rPr>
          <w:rFonts w:ascii="Arial" w:hAnsi="Arial" w:cs="Arial"/>
          <w:b/>
          <w:sz w:val="18"/>
        </w:rPr>
        <w:t xml:space="preserve">. </w:t>
      </w:r>
      <w:r w:rsidRPr="005A362F">
        <w:rPr>
          <w:rFonts w:ascii="Arial" w:hAnsi="Arial" w:cs="Arial"/>
          <w:sz w:val="18"/>
        </w:rPr>
        <w:t>For patients demonstrating biochemical relapse without overt CRAB criteria progressio</w:t>
      </w:r>
      <w:bookmarkStart w:id="8" w:name="_GoBack"/>
      <w:bookmarkEnd w:id="8"/>
      <w:r w:rsidRPr="005A362F">
        <w:rPr>
          <w:rFonts w:ascii="Arial" w:hAnsi="Arial" w:cs="Arial"/>
          <w:sz w:val="18"/>
        </w:rPr>
        <w:t>n on single-agent daratumumab (i.e. after the completion of 9 cycles of DVMP), would there be interest to add bortezomib back to daratumumab or switch to an alternate agent?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0028EA" w14:paraId="5247003C" w14:textId="77777777" w:rsidTr="000028EA">
        <w:tc>
          <w:tcPr>
            <w:tcW w:w="10346" w:type="dxa"/>
          </w:tcPr>
          <w:p w14:paraId="263B76BD" w14:textId="77777777" w:rsidR="000028EA" w:rsidRDefault="000028EA" w:rsidP="005A362F">
            <w:pPr>
              <w:pStyle w:val="pCODR01AppendixHeader"/>
              <w:spacing w:after="0"/>
              <w:rPr>
                <w:rFonts w:ascii="Arial" w:hAnsi="Arial" w:cs="Arial"/>
                <w:spacing w:val="0"/>
              </w:rPr>
            </w:pPr>
            <w:bookmarkStart w:id="9" w:name="_Appendix_A:_pCODR"/>
            <w:bookmarkStart w:id="10" w:name="_Toc439923603"/>
            <w:bookmarkEnd w:id="9"/>
          </w:p>
        </w:tc>
      </w:tr>
    </w:tbl>
    <w:p w14:paraId="0AE0D783" w14:textId="77777777" w:rsidR="00D8302B" w:rsidRPr="00EB0EEF" w:rsidRDefault="00D8302B" w:rsidP="005A362F">
      <w:pPr>
        <w:pStyle w:val="pCODR01AppendixHeader"/>
        <w:spacing w:after="0"/>
        <w:rPr>
          <w:rFonts w:ascii="Arial" w:hAnsi="Arial" w:cs="Arial"/>
          <w:spacing w:val="0"/>
        </w:rPr>
      </w:pPr>
    </w:p>
    <w:p w14:paraId="37480FF9" w14:textId="77777777" w:rsidR="00D8302B" w:rsidRPr="00EB0EEF" w:rsidRDefault="00D8302B">
      <w:pPr>
        <w:rPr>
          <w:rFonts w:ascii="Arial" w:eastAsia="Times New Roman" w:hAnsi="Arial" w:cs="Arial"/>
          <w:b/>
          <w:kern w:val="28"/>
          <w:sz w:val="28"/>
        </w:rPr>
      </w:pPr>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B2B3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B7EB1">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B7EB1">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0B5B8"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B7EB1">
                            <w:rPr>
                              <w:rFonts w:ascii="Arial" w:hAnsi="Arial" w:cs="Arial"/>
                              <w:noProof/>
                              <w:sz w:val="14"/>
                              <w:szCs w:val="14"/>
                            </w:rPr>
                            <w:t>7</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AB7EB1">
                      <w:rPr>
                        <w:rFonts w:ascii="Arial" w:hAnsi="Arial" w:cs="Arial"/>
                        <w:noProof/>
                        <w:sz w:val="14"/>
                        <w:szCs w:val="14"/>
                      </w:rPr>
                      <w:t>7</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1F2877C7"/>
    <w:multiLevelType w:val="hybridMultilevel"/>
    <w:tmpl w:val="30B4CA8A"/>
    <w:lvl w:ilvl="0" w:tplc="1009000F">
      <w:start w:val="1"/>
      <w:numFmt w:val="decimal"/>
      <w:lvlText w:val="%1."/>
      <w:lvlJc w:val="left"/>
      <w:pPr>
        <w:ind w:left="360" w:hanging="360"/>
      </w:pPr>
      <w:rPr>
        <w:rFonts w:hint="default"/>
      </w:rPr>
    </w:lvl>
    <w:lvl w:ilvl="1" w:tplc="10090019">
      <w:start w:val="1"/>
      <w:numFmt w:val="lowerLetter"/>
      <w:lvlText w:val="%2."/>
      <w:lvlJc w:val="left"/>
      <w:pPr>
        <w:ind w:left="786"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6" w15:restartNumberingAfterBreak="0">
    <w:nsid w:val="3B555AB9"/>
    <w:multiLevelType w:val="hybridMultilevel"/>
    <w:tmpl w:val="B9441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CA209C"/>
    <w:multiLevelType w:val="hybridMultilevel"/>
    <w:tmpl w:val="7C182F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6"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2550F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44"/>
  </w:num>
  <w:num w:numId="16">
    <w:abstractNumId w:val="28"/>
  </w:num>
  <w:num w:numId="17">
    <w:abstractNumId w:val="33"/>
  </w:num>
  <w:num w:numId="18">
    <w:abstractNumId w:val="49"/>
  </w:num>
  <w:num w:numId="19">
    <w:abstractNumId w:val="31"/>
  </w:num>
  <w:num w:numId="20">
    <w:abstractNumId w:val="11"/>
  </w:num>
  <w:num w:numId="21">
    <w:abstractNumId w:val="9"/>
  </w:num>
  <w:num w:numId="22">
    <w:abstractNumId w:val="30"/>
  </w:num>
  <w:num w:numId="23">
    <w:abstractNumId w:val="47"/>
  </w:num>
  <w:num w:numId="24">
    <w:abstractNumId w:val="15"/>
  </w:num>
  <w:num w:numId="25">
    <w:abstractNumId w:val="27"/>
  </w:num>
  <w:num w:numId="26">
    <w:abstractNumId w:val="38"/>
  </w:num>
  <w:num w:numId="27">
    <w:abstractNumId w:val="20"/>
  </w:num>
  <w:num w:numId="28">
    <w:abstractNumId w:val="25"/>
  </w:num>
  <w:num w:numId="29">
    <w:abstractNumId w:val="17"/>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4"/>
  </w:num>
  <w:num w:numId="36">
    <w:abstractNumId w:val="23"/>
  </w:num>
  <w:num w:numId="37">
    <w:abstractNumId w:val="22"/>
  </w:num>
  <w:num w:numId="38">
    <w:abstractNumId w:val="12"/>
  </w:num>
  <w:num w:numId="39">
    <w:abstractNumId w:val="46"/>
  </w:num>
  <w:num w:numId="40">
    <w:abstractNumId w:val="16"/>
  </w:num>
  <w:num w:numId="41">
    <w:abstractNumId w:val="41"/>
  </w:num>
  <w:num w:numId="42">
    <w:abstractNumId w:val="18"/>
  </w:num>
  <w:num w:numId="43">
    <w:abstractNumId w:val="36"/>
  </w:num>
  <w:num w:numId="44">
    <w:abstractNumId w:val="43"/>
  </w:num>
  <w:num w:numId="45">
    <w:abstractNumId w:val="21"/>
  </w:num>
  <w:num w:numId="46">
    <w:abstractNumId w:val="13"/>
  </w:num>
  <w:num w:numId="47">
    <w:abstractNumId w:val="34"/>
  </w:num>
  <w:num w:numId="48">
    <w:abstractNumId w:val="26"/>
  </w:num>
  <w:num w:numId="49">
    <w:abstractNumId w:val="29"/>
  </w:num>
  <w:num w:numId="50">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0CCD"/>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0997"/>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252A"/>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362F"/>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2AFE"/>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59AA"/>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B7EB1"/>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9989">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513571222">
      <w:bodyDiv w:val="1"/>
      <w:marLeft w:val="0"/>
      <w:marRight w:val="0"/>
      <w:marTop w:val="0"/>
      <w:marBottom w:val="0"/>
      <w:divBdr>
        <w:top w:val="none" w:sz="0" w:space="0" w:color="auto"/>
        <w:left w:val="none" w:sz="0" w:space="0" w:color="auto"/>
        <w:bottom w:val="none" w:sz="0" w:space="0" w:color="auto"/>
        <w:right w:val="none" w:sz="0" w:space="0" w:color="auto"/>
      </w:divBdr>
    </w:div>
    <w:div w:id="207816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professionals/physician_gls/pdf/myelom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ccessdata.fda.gov/drugsatfda_docs/label/2018/761036s013lbl.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ejm.org/doi/full/10.1056/NEJMoa1714678" TargetMode="External"/><Relationship Id="rId20" Type="http://schemas.openxmlformats.org/officeDocument/2006/relationships/hyperlink" Target="http://www.esmo.org/Guidelines/Haematological-Malignancies/Multiple-Myelo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loodjournal.org/content/130/Suppl_1/LBA-4?sso-checked=true" TargetMode="External"/><Relationship Id="rId10" Type="http://schemas.openxmlformats.org/officeDocument/2006/relationships/header" Target="header1.xml"/><Relationship Id="rId19" Type="http://schemas.openxmlformats.org/officeDocument/2006/relationships/hyperlink" Target="http://ascopubs.org/doi/pdf/10.1200/JCO.2017.76.6402"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19547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2D88-0A7D-4F62-BC6E-13C44B70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2018-08-22T15:08:00Z</dcterms:modified>
</cp:coreProperties>
</file>