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5458C9D8" w:rsidR="00121EB1" w:rsidRPr="00EB0EEF" w:rsidRDefault="0084414F" w:rsidP="00EB0EEF">
            <w:pPr>
              <w:pStyle w:val="DocumentTitle"/>
              <w:tabs>
                <w:tab w:val="left" w:pos="1074"/>
              </w:tabs>
              <w:spacing w:before="0" w:after="0"/>
              <w:rPr>
                <w:sz w:val="18"/>
                <w:szCs w:val="20"/>
              </w:rPr>
            </w:pPr>
            <w:r>
              <w:rPr>
                <w:sz w:val="18"/>
                <w:szCs w:val="20"/>
              </w:rPr>
              <w:t>pCODR 10149</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6D63F7B5" w:rsidR="00F369F8" w:rsidRPr="00EB0EEF" w:rsidRDefault="0084414F" w:rsidP="00EB0EEF">
            <w:pPr>
              <w:pStyle w:val="DocumentTitle"/>
              <w:tabs>
                <w:tab w:val="left" w:pos="1074"/>
              </w:tabs>
              <w:spacing w:before="0" w:after="0"/>
              <w:rPr>
                <w:sz w:val="18"/>
                <w:szCs w:val="20"/>
              </w:rPr>
            </w:pPr>
            <w:r>
              <w:rPr>
                <w:sz w:val="18"/>
                <w:szCs w:val="20"/>
              </w:rPr>
              <w:t>Enzalutamide (Xtandi)</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63E10E8F" w:rsidR="00F369F8" w:rsidRPr="00EB0EEF" w:rsidRDefault="0084414F" w:rsidP="00EB0EEF">
            <w:pPr>
              <w:pStyle w:val="DocumentTitle"/>
              <w:tabs>
                <w:tab w:val="left" w:pos="1074"/>
              </w:tabs>
              <w:spacing w:before="0" w:after="0"/>
              <w:rPr>
                <w:sz w:val="18"/>
                <w:szCs w:val="20"/>
              </w:rPr>
            </w:pPr>
            <w:r w:rsidRPr="0084414F">
              <w:rPr>
                <w:sz w:val="18"/>
                <w:szCs w:val="20"/>
              </w:rPr>
              <w:t>Castrate Resistant Prostate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1116C42A" w:rsidR="00F369F8" w:rsidRPr="00EB0EEF" w:rsidRDefault="0084414F" w:rsidP="00EB0EEF">
            <w:pPr>
              <w:pStyle w:val="DocumentTitle"/>
              <w:tabs>
                <w:tab w:val="left" w:pos="1074"/>
              </w:tabs>
              <w:spacing w:before="0" w:after="0"/>
              <w:rPr>
                <w:sz w:val="18"/>
                <w:szCs w:val="20"/>
              </w:rPr>
            </w:pPr>
            <w:r w:rsidRPr="0084414F">
              <w:rPr>
                <w:sz w:val="18"/>
                <w:szCs w:val="20"/>
              </w:rPr>
              <w:t>Non-metastatic castration-resistant prostate cancer</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31704372" w14:textId="3FAE6EEB" w:rsidR="0084414F" w:rsidRDefault="0084414F" w:rsidP="0084414F">
            <w:pPr>
              <w:pStyle w:val="DocumentTitle"/>
              <w:numPr>
                <w:ilvl w:val="0"/>
                <w:numId w:val="44"/>
              </w:numPr>
              <w:tabs>
                <w:tab w:val="left" w:pos="1074"/>
              </w:tabs>
              <w:spacing w:before="0" w:after="0"/>
              <w:rPr>
                <w:sz w:val="18"/>
                <w:szCs w:val="20"/>
              </w:rPr>
            </w:pPr>
            <w:r w:rsidRPr="0084414F">
              <w:rPr>
                <w:sz w:val="18"/>
                <w:szCs w:val="20"/>
              </w:rPr>
              <w:t>PROSPER</w:t>
            </w:r>
            <w:r>
              <w:rPr>
                <w:sz w:val="18"/>
                <w:szCs w:val="20"/>
              </w:rPr>
              <w:t xml:space="preserve"> (</w:t>
            </w:r>
            <w:hyperlink r:id="rId14" w:history="1">
              <w:r w:rsidRPr="0084414F">
                <w:rPr>
                  <w:rStyle w:val="Hyperlink"/>
                  <w:sz w:val="18"/>
                  <w:szCs w:val="20"/>
                </w:rPr>
                <w:t>NCT02003924</w:t>
              </w:r>
            </w:hyperlink>
            <w:r>
              <w:rPr>
                <w:sz w:val="18"/>
                <w:szCs w:val="20"/>
              </w:rPr>
              <w:t>)</w:t>
            </w:r>
          </w:p>
          <w:p w14:paraId="52AF8FBD" w14:textId="4255E615" w:rsidR="00CC380E" w:rsidRPr="0084414F" w:rsidRDefault="00876D5C" w:rsidP="0084414F">
            <w:pPr>
              <w:pStyle w:val="DocumentTitle"/>
              <w:numPr>
                <w:ilvl w:val="0"/>
                <w:numId w:val="44"/>
              </w:numPr>
              <w:tabs>
                <w:tab w:val="left" w:pos="1074"/>
              </w:tabs>
              <w:spacing w:before="0" w:after="0"/>
              <w:rPr>
                <w:sz w:val="18"/>
                <w:szCs w:val="18"/>
              </w:rPr>
            </w:pPr>
            <w:hyperlink r:id="rId15" w:tgtFrame="_blank" w:history="1">
              <w:r w:rsidR="0084414F">
                <w:rPr>
                  <w:rStyle w:val="Hyperlink"/>
                  <w:sz w:val="18"/>
                  <w:szCs w:val="18"/>
                  <w:bdr w:val="none" w:sz="0" w:space="0" w:color="auto" w:frame="1"/>
                  <w:shd w:val="clear" w:color="auto" w:fill="FFFFFF"/>
                </w:rPr>
                <w:t>Hussain et al, N Engl J Med 2018</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77E7F25F" w:rsidR="00275E1C" w:rsidRPr="00EB0EEF" w:rsidRDefault="0084414F" w:rsidP="0084414F">
            <w:pPr>
              <w:pStyle w:val="DocumentTitle"/>
              <w:tabs>
                <w:tab w:val="left" w:pos="1074"/>
              </w:tabs>
              <w:spacing w:before="0" w:after="0"/>
              <w:rPr>
                <w:color w:val="C00000"/>
                <w:sz w:val="18"/>
                <w:szCs w:val="20"/>
              </w:rPr>
            </w:pPr>
            <w:r w:rsidRPr="0084414F">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633D64AA" w14:textId="2D003102" w:rsidR="0084414F" w:rsidRDefault="0084414F" w:rsidP="0084414F">
            <w:pPr>
              <w:pStyle w:val="DocumentTitle"/>
              <w:tabs>
                <w:tab w:val="left" w:pos="1074"/>
              </w:tabs>
              <w:spacing w:before="0" w:after="0"/>
              <w:rPr>
                <w:sz w:val="18"/>
                <w:szCs w:val="20"/>
              </w:rPr>
            </w:pPr>
            <w:r>
              <w:rPr>
                <w:sz w:val="18"/>
                <w:szCs w:val="20"/>
              </w:rPr>
              <w:t>July 13, 2018</w:t>
            </w:r>
          </w:p>
          <w:p w14:paraId="7B64EF84" w14:textId="77777777" w:rsidR="0084414F" w:rsidRDefault="0084414F" w:rsidP="0084414F">
            <w:pPr>
              <w:pStyle w:val="DocumentTitle"/>
              <w:tabs>
                <w:tab w:val="left" w:pos="1074"/>
              </w:tabs>
              <w:spacing w:before="0" w:after="0"/>
              <w:rPr>
                <w:sz w:val="18"/>
                <w:szCs w:val="20"/>
              </w:rPr>
            </w:pPr>
          </w:p>
          <w:p w14:paraId="2EE07483" w14:textId="5A293F5B" w:rsidR="0084414F" w:rsidRPr="0084414F" w:rsidRDefault="00876D5C" w:rsidP="0084414F">
            <w:pPr>
              <w:pStyle w:val="DocumentTitle"/>
              <w:tabs>
                <w:tab w:val="left" w:pos="1074"/>
              </w:tabs>
              <w:spacing w:before="0" w:after="0"/>
              <w:rPr>
                <w:sz w:val="18"/>
                <w:szCs w:val="20"/>
              </w:rPr>
            </w:pPr>
            <w:hyperlink r:id="rId16" w:history="1">
              <w:r w:rsidR="0084414F" w:rsidRPr="0084414F">
                <w:rPr>
                  <w:rStyle w:val="Hyperlink"/>
                  <w:sz w:val="18"/>
                  <w:szCs w:val="20"/>
                </w:rPr>
                <w:t>For patients with castration-resistant prostate cancer (CRPC).</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6A459A54"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7B7075A0" w:rsidR="00F369F8" w:rsidRPr="00EB0EEF" w:rsidRDefault="00F369F8" w:rsidP="00EB0EEF">
            <w:pPr>
              <w:pStyle w:val="DocumentTitle"/>
              <w:tabs>
                <w:tab w:val="left" w:pos="1074"/>
              </w:tabs>
              <w:spacing w:before="0" w:after="0"/>
              <w:rPr>
                <w:color w:val="C00000"/>
                <w:sz w:val="18"/>
                <w:szCs w:val="20"/>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7E99E46" w14:textId="5320D885" w:rsidR="00420EEA" w:rsidRPr="00EB0EEF" w:rsidRDefault="00876D5C" w:rsidP="0084414F">
            <w:pPr>
              <w:pStyle w:val="DocumentTitle"/>
              <w:tabs>
                <w:tab w:val="left" w:pos="1074"/>
              </w:tabs>
              <w:spacing w:before="0" w:after="0"/>
              <w:rPr>
                <w:color w:val="C00000"/>
                <w:sz w:val="18"/>
                <w:szCs w:val="20"/>
              </w:rPr>
            </w:pPr>
            <w:hyperlink r:id="rId17" w:history="1">
              <w:r w:rsidR="0084414F" w:rsidRPr="0084414F">
                <w:rPr>
                  <w:rStyle w:val="Hyperlink"/>
                  <w:sz w:val="18"/>
                  <w:szCs w:val="20"/>
                </w:rPr>
                <w:t>NCCN Prostate Cancer Guidelines.</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3DEE76A0" w:rsidR="00420EEA" w:rsidRPr="00EB0EEF" w:rsidRDefault="0084414F" w:rsidP="0084414F">
            <w:pPr>
              <w:pStyle w:val="DocumentTitle"/>
              <w:tabs>
                <w:tab w:val="left" w:pos="1074"/>
              </w:tabs>
              <w:spacing w:before="0" w:after="0"/>
              <w:rPr>
                <w:color w:val="C00000"/>
                <w:sz w:val="18"/>
                <w:szCs w:val="20"/>
              </w:rPr>
            </w:pPr>
            <w:r w:rsidRPr="0084414F">
              <w:rPr>
                <w:sz w:val="18"/>
                <w:szCs w:val="20"/>
              </w:rPr>
              <w:t>The current treatment for non-metastatic castration-resistant prostate cancer is androgen deprivation therapy (ADT).</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876D5C"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68FBC99A" w14:textId="00FAD6E0" w:rsidR="00CA0AAE" w:rsidRDefault="00CA0AAE" w:rsidP="00CA0AAE">
      <w:pPr>
        <w:pStyle w:val="pCODR1Body"/>
        <w:spacing w:after="0"/>
        <w:ind w:left="426"/>
        <w:rPr>
          <w:rFonts w:ascii="Arial" w:hAnsi="Arial" w:cs="Arial"/>
          <w:sz w:val="18"/>
        </w:rPr>
      </w:pPr>
      <w:r>
        <w:rPr>
          <w:rFonts w:ascii="Arial" w:hAnsi="Arial" w:cs="Arial"/>
          <w:b/>
          <w:sz w:val="18"/>
        </w:rPr>
        <w:t xml:space="preserve">4.1. </w:t>
      </w:r>
      <w:r w:rsidR="00F54179" w:rsidRPr="00876D5C">
        <w:rPr>
          <w:rFonts w:ascii="Arial" w:hAnsi="Arial" w:cs="Arial"/>
          <w:sz w:val="18"/>
        </w:rPr>
        <w:t xml:space="preserve">In clinical practice, </w:t>
      </w:r>
      <w:r w:rsidR="00F54179" w:rsidRPr="00F54179">
        <w:rPr>
          <w:rFonts w:ascii="Arial" w:hAnsi="Arial" w:cs="Arial"/>
          <w:sz w:val="18"/>
        </w:rPr>
        <w:t>w</w:t>
      </w:r>
      <w:r w:rsidRPr="00F54179">
        <w:rPr>
          <w:rFonts w:ascii="Arial" w:hAnsi="Arial" w:cs="Arial"/>
          <w:sz w:val="18"/>
        </w:rPr>
        <w:t>hat</w:t>
      </w:r>
      <w:r w:rsidRPr="00CA0AAE">
        <w:rPr>
          <w:rFonts w:ascii="Arial" w:hAnsi="Arial" w:cs="Arial"/>
          <w:sz w:val="18"/>
        </w:rPr>
        <w:t xml:space="preserve"> treatment options would be available to patients in the metastatic setting following enzalutamide treatment in the non-metastatic castration-resistant prostate cancer setting?</w:t>
      </w:r>
      <w:r w:rsidR="00F54179">
        <w:rPr>
          <w:rFonts w:ascii="Arial" w:hAnsi="Arial" w:cs="Arial"/>
          <w:sz w:val="18"/>
        </w:rPr>
        <w:t xml:space="preserve"> Which sequence of treatments would be preferred?</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CA0AAE" w14:paraId="171F5C4D" w14:textId="77777777" w:rsidTr="00D3252A">
        <w:trPr>
          <w:trHeight w:val="419"/>
        </w:trPr>
        <w:tc>
          <w:tcPr>
            <w:tcW w:w="10292" w:type="dxa"/>
          </w:tcPr>
          <w:p w14:paraId="1E720465" w14:textId="77777777" w:rsidR="00CA0AAE" w:rsidRDefault="00CA0AAE" w:rsidP="00D3252A">
            <w:pPr>
              <w:pStyle w:val="pCODR01AppendixHeader"/>
              <w:spacing w:before="0" w:after="0"/>
              <w:rPr>
                <w:rFonts w:ascii="Arial" w:hAnsi="Arial" w:cs="Arial"/>
                <w:spacing w:val="0"/>
              </w:rPr>
            </w:pPr>
          </w:p>
        </w:tc>
      </w:tr>
    </w:tbl>
    <w:p w14:paraId="2924C5FF" w14:textId="77777777" w:rsidR="00CA0AAE" w:rsidRDefault="00CA0AAE" w:rsidP="00CA0AAE">
      <w:pPr>
        <w:pStyle w:val="pCODR1Body"/>
        <w:spacing w:after="0"/>
        <w:ind w:left="426"/>
        <w:rPr>
          <w:rFonts w:ascii="Arial" w:hAnsi="Arial" w:cs="Arial"/>
          <w:b/>
          <w:sz w:val="18"/>
        </w:rPr>
      </w:pPr>
    </w:p>
    <w:p w14:paraId="02CCA12E" w14:textId="14E6DD97" w:rsidR="00CA0AAE" w:rsidRDefault="00CA0AAE" w:rsidP="00CA0AAE">
      <w:pPr>
        <w:pStyle w:val="pCODR1Body"/>
        <w:spacing w:after="0"/>
        <w:ind w:left="426"/>
        <w:rPr>
          <w:rFonts w:ascii="Arial" w:hAnsi="Arial" w:cs="Arial"/>
          <w:sz w:val="18"/>
        </w:rPr>
      </w:pPr>
      <w:r>
        <w:rPr>
          <w:rFonts w:ascii="Arial" w:hAnsi="Arial" w:cs="Arial"/>
          <w:b/>
          <w:sz w:val="18"/>
        </w:rPr>
        <w:t>4.2</w:t>
      </w:r>
      <w:r w:rsidRPr="00AC6B9C">
        <w:rPr>
          <w:rFonts w:ascii="Arial" w:hAnsi="Arial" w:cs="Arial"/>
          <w:sz w:val="18"/>
        </w:rPr>
        <w:t xml:space="preserve"> </w:t>
      </w:r>
      <w:r w:rsidR="00876D5C">
        <w:rPr>
          <w:rFonts w:ascii="Arial" w:hAnsi="Arial" w:cs="Arial"/>
          <w:sz w:val="18"/>
        </w:rPr>
        <w:t xml:space="preserve">Apalutamide for the treatment of </w:t>
      </w:r>
      <w:r w:rsidR="00876D5C" w:rsidRPr="00876D5C">
        <w:rPr>
          <w:rFonts w:ascii="Arial" w:hAnsi="Arial" w:cs="Arial"/>
          <w:sz w:val="18"/>
        </w:rPr>
        <w:t xml:space="preserve">non-metastatic castrate resistant prostate cancer </w:t>
      </w:r>
      <w:r w:rsidR="00876D5C">
        <w:rPr>
          <w:rFonts w:ascii="Arial" w:hAnsi="Arial" w:cs="Arial"/>
          <w:sz w:val="18"/>
        </w:rPr>
        <w:t>is currently under review at pCODR, and may become an available treatment option in the future. In w</w:t>
      </w:r>
      <w:r w:rsidRPr="00CA0AAE">
        <w:rPr>
          <w:rFonts w:ascii="Arial" w:hAnsi="Arial" w:cs="Arial"/>
          <w:sz w:val="18"/>
        </w:rPr>
        <w:t xml:space="preserve">hat clinical scenarios would </w:t>
      </w:r>
      <w:r w:rsidR="00876D5C">
        <w:rPr>
          <w:rFonts w:ascii="Arial" w:hAnsi="Arial" w:cs="Arial"/>
          <w:sz w:val="18"/>
        </w:rPr>
        <w:t xml:space="preserve">apalutamide or enzalutamide </w:t>
      </w:r>
      <w:r w:rsidRPr="00CA0AAE">
        <w:rPr>
          <w:rFonts w:ascii="Arial" w:hAnsi="Arial" w:cs="Arial"/>
          <w:sz w:val="18"/>
        </w:rPr>
        <w:t>be the preferred treatment for non-metastatic castration-resistant prostate cancer</w:t>
      </w:r>
      <w:r w:rsidR="00876D5C">
        <w:rPr>
          <w:rFonts w:ascii="Arial" w:hAnsi="Arial" w:cs="Arial"/>
          <w:sz w:val="18"/>
        </w:rPr>
        <w:t xml:space="preserve">? </w:t>
      </w:r>
      <w:bookmarkStart w:id="8" w:name="_GoBack"/>
      <w:r w:rsidR="00876D5C">
        <w:rPr>
          <w:rFonts w:ascii="Arial" w:hAnsi="Arial" w:cs="Arial"/>
          <w:sz w:val="18"/>
        </w:rPr>
        <w:t>P</w:t>
      </w:r>
      <w:r w:rsidR="00F54179">
        <w:rPr>
          <w:rFonts w:ascii="Arial" w:hAnsi="Arial" w:cs="Arial"/>
          <w:sz w:val="18"/>
        </w:rPr>
        <w:t>lease comment on the preference considering patient preference</w:t>
      </w:r>
      <w:r w:rsidR="00876D5C">
        <w:rPr>
          <w:rFonts w:ascii="Arial" w:hAnsi="Arial" w:cs="Arial"/>
          <w:sz w:val="18"/>
        </w:rPr>
        <w:t>,</w:t>
      </w:r>
      <w:r w:rsidR="00F54179">
        <w:rPr>
          <w:rFonts w:ascii="Arial" w:hAnsi="Arial" w:cs="Arial"/>
          <w:sz w:val="18"/>
        </w:rPr>
        <w:t xml:space="preserve"> effica</w:t>
      </w:r>
      <w:r w:rsidR="00876D5C">
        <w:rPr>
          <w:rFonts w:ascii="Arial" w:hAnsi="Arial" w:cs="Arial"/>
          <w:sz w:val="18"/>
        </w:rPr>
        <w:t>cy, safety, and administration.</w:t>
      </w:r>
      <w:bookmarkEnd w:id="8"/>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CA0AAE" w14:paraId="3EA2C01A" w14:textId="77777777" w:rsidTr="00D3252A">
        <w:trPr>
          <w:trHeight w:val="197"/>
        </w:trPr>
        <w:tc>
          <w:tcPr>
            <w:tcW w:w="10292" w:type="dxa"/>
          </w:tcPr>
          <w:p w14:paraId="7F501782" w14:textId="77777777" w:rsidR="00CA0AAE" w:rsidRDefault="00CA0AAE" w:rsidP="00D3252A">
            <w:pPr>
              <w:pStyle w:val="pCODR01AppendixHeader"/>
              <w:spacing w:before="0" w:after="0"/>
              <w:rPr>
                <w:rFonts w:ascii="Arial" w:hAnsi="Arial" w:cs="Arial"/>
                <w:spacing w:val="0"/>
              </w:rPr>
            </w:pPr>
          </w:p>
        </w:tc>
      </w:tr>
    </w:tbl>
    <w:p w14:paraId="04B0892E" w14:textId="77777777" w:rsidR="00CA0AAE" w:rsidRDefault="00CA0AAE" w:rsidP="00CA0AAE">
      <w:pPr>
        <w:pStyle w:val="pCODR1Body"/>
        <w:spacing w:after="0"/>
        <w:rPr>
          <w:rFonts w:ascii="Arial" w:hAnsi="Arial" w:cs="Arial"/>
          <w:b/>
          <w:sz w:val="18"/>
        </w:rPr>
      </w:pPr>
    </w:p>
    <w:p w14:paraId="37480FF9" w14:textId="77777777" w:rsidR="00D8302B" w:rsidRPr="00EB0EEF" w:rsidRDefault="00D8302B">
      <w:pPr>
        <w:rPr>
          <w:rFonts w:ascii="Arial" w:eastAsia="Times New Roman" w:hAnsi="Arial" w:cs="Arial"/>
          <w:b/>
          <w:kern w:val="28"/>
          <w:sz w:val="28"/>
        </w:rPr>
      </w:pPr>
      <w:bookmarkStart w:id="9" w:name="_Appendix_A:_pCODR"/>
      <w:bookmarkStart w:id="10" w:name="_Toc439923603"/>
      <w:bookmarkEnd w:id="9"/>
      <w:r w:rsidRPr="00EB0EEF">
        <w:rPr>
          <w:rFonts w:ascii="Arial" w:hAnsi="Arial" w:cs="Arial"/>
        </w:rPr>
        <w:br w:type="page"/>
      </w: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3AA8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76D5C">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76D5C">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0A5D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76D5C">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76D5C">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3"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5"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6"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9"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FF479D"/>
    <w:multiLevelType w:val="hybridMultilevel"/>
    <w:tmpl w:val="F0EE6DFC"/>
    <w:lvl w:ilvl="0" w:tplc="10090001">
      <w:start w:val="1"/>
      <w:numFmt w:val="bullet"/>
      <w:lvlText w:val=""/>
      <w:lvlJc w:val="left"/>
      <w:pPr>
        <w:ind w:left="425" w:hanging="360"/>
      </w:pPr>
      <w:rPr>
        <w:rFonts w:ascii="Symbol" w:hAnsi="Symbol" w:hint="default"/>
      </w:rPr>
    </w:lvl>
    <w:lvl w:ilvl="1" w:tplc="10090003">
      <w:start w:val="1"/>
      <w:numFmt w:val="bullet"/>
      <w:lvlText w:val="o"/>
      <w:lvlJc w:val="left"/>
      <w:pPr>
        <w:ind w:left="1145" w:hanging="360"/>
      </w:pPr>
      <w:rPr>
        <w:rFonts w:ascii="Courier New" w:hAnsi="Courier New" w:cs="Courier New" w:hint="default"/>
      </w:rPr>
    </w:lvl>
    <w:lvl w:ilvl="2" w:tplc="10090005">
      <w:start w:val="1"/>
      <w:numFmt w:val="bullet"/>
      <w:lvlText w:val=""/>
      <w:lvlJc w:val="left"/>
      <w:pPr>
        <w:ind w:left="1865" w:hanging="360"/>
      </w:pPr>
      <w:rPr>
        <w:rFonts w:ascii="Wingdings" w:hAnsi="Wingdings" w:hint="default"/>
      </w:rPr>
    </w:lvl>
    <w:lvl w:ilvl="3" w:tplc="10090001">
      <w:start w:val="1"/>
      <w:numFmt w:val="bullet"/>
      <w:lvlText w:val=""/>
      <w:lvlJc w:val="left"/>
      <w:pPr>
        <w:ind w:left="2585" w:hanging="360"/>
      </w:pPr>
      <w:rPr>
        <w:rFonts w:ascii="Symbol" w:hAnsi="Symbol" w:hint="default"/>
      </w:rPr>
    </w:lvl>
    <w:lvl w:ilvl="4" w:tplc="10090003" w:tentative="1">
      <w:start w:val="1"/>
      <w:numFmt w:val="bullet"/>
      <w:lvlText w:val="o"/>
      <w:lvlJc w:val="left"/>
      <w:pPr>
        <w:ind w:left="3305" w:hanging="360"/>
      </w:pPr>
      <w:rPr>
        <w:rFonts w:ascii="Courier New" w:hAnsi="Courier New" w:cs="Courier New" w:hint="default"/>
      </w:rPr>
    </w:lvl>
    <w:lvl w:ilvl="5" w:tplc="10090005" w:tentative="1">
      <w:start w:val="1"/>
      <w:numFmt w:val="bullet"/>
      <w:lvlText w:val=""/>
      <w:lvlJc w:val="left"/>
      <w:pPr>
        <w:ind w:left="4025" w:hanging="360"/>
      </w:pPr>
      <w:rPr>
        <w:rFonts w:ascii="Wingdings" w:hAnsi="Wingdings" w:hint="default"/>
      </w:rPr>
    </w:lvl>
    <w:lvl w:ilvl="6" w:tplc="10090001" w:tentative="1">
      <w:start w:val="1"/>
      <w:numFmt w:val="bullet"/>
      <w:lvlText w:val=""/>
      <w:lvlJc w:val="left"/>
      <w:pPr>
        <w:ind w:left="4745" w:hanging="360"/>
      </w:pPr>
      <w:rPr>
        <w:rFonts w:ascii="Symbol" w:hAnsi="Symbol" w:hint="default"/>
      </w:rPr>
    </w:lvl>
    <w:lvl w:ilvl="7" w:tplc="10090003" w:tentative="1">
      <w:start w:val="1"/>
      <w:numFmt w:val="bullet"/>
      <w:lvlText w:val="o"/>
      <w:lvlJc w:val="left"/>
      <w:pPr>
        <w:ind w:left="5465" w:hanging="360"/>
      </w:pPr>
      <w:rPr>
        <w:rFonts w:ascii="Courier New" w:hAnsi="Courier New" w:cs="Courier New" w:hint="default"/>
      </w:rPr>
    </w:lvl>
    <w:lvl w:ilvl="8" w:tplc="10090005" w:tentative="1">
      <w:start w:val="1"/>
      <w:numFmt w:val="bullet"/>
      <w:lvlText w:val=""/>
      <w:lvlJc w:val="left"/>
      <w:pPr>
        <w:ind w:left="6185" w:hanging="360"/>
      </w:pPr>
      <w:rPr>
        <w:rFonts w:ascii="Wingdings" w:hAnsi="Wingdings" w:hint="default"/>
      </w:rPr>
    </w:lvl>
  </w:abstractNum>
  <w:abstractNum w:abstractNumId="41"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2"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3"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4"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6"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9"/>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2"/>
  </w:num>
  <w:num w:numId="15">
    <w:abstractNumId w:val="41"/>
  </w:num>
  <w:num w:numId="16">
    <w:abstractNumId w:val="26"/>
  </w:num>
  <w:num w:numId="17">
    <w:abstractNumId w:val="30"/>
  </w:num>
  <w:num w:numId="18">
    <w:abstractNumId w:val="46"/>
  </w:num>
  <w:num w:numId="19">
    <w:abstractNumId w:val="28"/>
  </w:num>
  <w:num w:numId="20">
    <w:abstractNumId w:val="11"/>
  </w:num>
  <w:num w:numId="21">
    <w:abstractNumId w:val="9"/>
  </w:num>
  <w:num w:numId="22">
    <w:abstractNumId w:val="27"/>
  </w:num>
  <w:num w:numId="23">
    <w:abstractNumId w:val="44"/>
  </w:num>
  <w:num w:numId="24">
    <w:abstractNumId w:val="15"/>
  </w:num>
  <w:num w:numId="25">
    <w:abstractNumId w:val="25"/>
  </w:num>
  <w:num w:numId="26">
    <w:abstractNumId w:val="35"/>
  </w:num>
  <w:num w:numId="27">
    <w:abstractNumId w:val="19"/>
  </w:num>
  <w:num w:numId="28">
    <w:abstractNumId w:val="24"/>
  </w:num>
  <w:num w:numId="29">
    <w:abstractNumId w:val="17"/>
  </w:num>
  <w:num w:numId="30">
    <w:abstractNumId w:val="42"/>
  </w:num>
  <w:num w:numId="31">
    <w:abstractNumId w:val="37"/>
  </w:num>
  <w:num w:numId="32">
    <w:abstractNumId w:val="45"/>
    <w:lvlOverride w:ilvl="0">
      <w:startOverride w:val="1"/>
    </w:lvlOverride>
  </w:num>
  <w:num w:numId="33">
    <w:abstractNumId w:val="34"/>
    <w:lvlOverride w:ilvl="0">
      <w:startOverride w:val="1"/>
    </w:lvlOverride>
  </w:num>
  <w:num w:numId="34">
    <w:abstractNumId w:val="36"/>
  </w:num>
  <w:num w:numId="35">
    <w:abstractNumId w:val="23"/>
  </w:num>
  <w:num w:numId="36">
    <w:abstractNumId w:val="22"/>
  </w:num>
  <w:num w:numId="37">
    <w:abstractNumId w:val="21"/>
  </w:num>
  <w:num w:numId="38">
    <w:abstractNumId w:val="12"/>
  </w:num>
  <w:num w:numId="39">
    <w:abstractNumId w:val="43"/>
  </w:num>
  <w:num w:numId="40">
    <w:abstractNumId w:val="16"/>
  </w:num>
  <w:num w:numId="41">
    <w:abstractNumId w:val="38"/>
  </w:num>
  <w:num w:numId="42">
    <w:abstractNumId w:val="18"/>
  </w:num>
  <w:num w:numId="43">
    <w:abstractNumId w:val="33"/>
  </w:num>
  <w:num w:numId="44">
    <w:abstractNumId w:val="40"/>
  </w:num>
  <w:num w:numId="45">
    <w:abstractNumId w:val="20"/>
  </w:num>
  <w:num w:numId="46">
    <w:abstractNumId w:val="13"/>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4414F"/>
    <w:rsid w:val="00850248"/>
    <w:rsid w:val="00851CEC"/>
    <w:rsid w:val="00852259"/>
    <w:rsid w:val="00862355"/>
    <w:rsid w:val="008624EC"/>
    <w:rsid w:val="00865015"/>
    <w:rsid w:val="00866DE5"/>
    <w:rsid w:val="008739D7"/>
    <w:rsid w:val="00875306"/>
    <w:rsid w:val="00876CAB"/>
    <w:rsid w:val="00876D5C"/>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0AAE"/>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4179"/>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99"/>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99"/>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235354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cn.org/professionals/physician_gls/pdf/prostate.pdf" TargetMode="External"/><Relationship Id="rId2" Type="http://schemas.openxmlformats.org/officeDocument/2006/relationships/numbering" Target="numbering.xml"/><Relationship Id="rId16" Type="http://schemas.openxmlformats.org/officeDocument/2006/relationships/hyperlink" Target="https://www.fda.gov/drugs/informationondrugs/approveddrugs/ucm613543.ht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full/10.1056/NEJMoa1800536"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0039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1FFC-7B4B-4435-9DA0-B924834A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2018-08-22T15:24:00Z</dcterms:modified>
</cp:coreProperties>
</file>