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8B70984" w:rsidR="00121EB1" w:rsidRPr="00EB0EEF" w:rsidRDefault="001A3891" w:rsidP="00EB0EEF">
            <w:pPr>
              <w:pStyle w:val="DocumentTitle"/>
              <w:tabs>
                <w:tab w:val="left" w:pos="1074"/>
              </w:tabs>
              <w:spacing w:before="0" w:after="0"/>
              <w:rPr>
                <w:sz w:val="18"/>
                <w:szCs w:val="20"/>
              </w:rPr>
            </w:pPr>
            <w:r>
              <w:rPr>
                <w:sz w:val="18"/>
                <w:szCs w:val="20"/>
              </w:rPr>
              <w:t>pCODR 10151</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702D6103" w:rsidR="00F369F8" w:rsidRPr="00EB0EEF" w:rsidRDefault="001A3891" w:rsidP="00EB0EEF">
            <w:pPr>
              <w:pStyle w:val="DocumentTitle"/>
              <w:tabs>
                <w:tab w:val="left" w:pos="1074"/>
              </w:tabs>
              <w:spacing w:before="0" w:after="0"/>
              <w:rPr>
                <w:sz w:val="18"/>
                <w:szCs w:val="20"/>
              </w:rPr>
            </w:pPr>
            <w:r>
              <w:rPr>
                <w:sz w:val="18"/>
                <w:szCs w:val="20"/>
              </w:rPr>
              <w:t>C</w:t>
            </w:r>
            <w:r w:rsidRPr="001A3891">
              <w:rPr>
                <w:sz w:val="18"/>
                <w:szCs w:val="20"/>
              </w:rPr>
              <w:t>rizotinib</w:t>
            </w:r>
            <w:r>
              <w:rPr>
                <w:sz w:val="18"/>
                <w:szCs w:val="20"/>
              </w:rPr>
              <w:t xml:space="preserve"> (</w:t>
            </w:r>
            <w:r w:rsidRPr="001A3891">
              <w:rPr>
                <w:sz w:val="18"/>
                <w:szCs w:val="20"/>
              </w:rPr>
              <w:t>Xalkori</w:t>
            </w:r>
            <w:r>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7FBA0294" w14:textId="77777777" w:rsidR="001A3891" w:rsidRPr="001A3891" w:rsidRDefault="001A3891" w:rsidP="001A3891">
            <w:pPr>
              <w:pStyle w:val="DocumentTitle"/>
              <w:tabs>
                <w:tab w:val="left" w:pos="1074"/>
              </w:tabs>
              <w:spacing w:before="0" w:after="0"/>
              <w:rPr>
                <w:sz w:val="18"/>
                <w:szCs w:val="20"/>
              </w:rPr>
            </w:pPr>
            <w:r w:rsidRPr="001A3891">
              <w:rPr>
                <w:sz w:val="18"/>
                <w:szCs w:val="20"/>
              </w:rPr>
              <w:t>Lung</w:t>
            </w:r>
          </w:p>
          <w:p w14:paraId="188CCEE5" w14:textId="084F03F9" w:rsidR="00F369F8" w:rsidRPr="00EB0EEF" w:rsidRDefault="001A3891" w:rsidP="001A3891">
            <w:pPr>
              <w:pStyle w:val="DocumentTitle"/>
              <w:tabs>
                <w:tab w:val="left" w:pos="1074"/>
              </w:tabs>
              <w:spacing w:before="0" w:after="0"/>
              <w:rPr>
                <w:sz w:val="18"/>
                <w:szCs w:val="20"/>
              </w:rPr>
            </w:pPr>
            <w:r>
              <w:rPr>
                <w:sz w:val="18"/>
                <w:szCs w:val="20"/>
              </w:rPr>
              <w:t>First Line ROS</w:t>
            </w:r>
            <w:r w:rsidRPr="001A3891">
              <w:rPr>
                <w:sz w:val="18"/>
                <w:szCs w:val="20"/>
              </w:rPr>
              <w:t xml:space="preserve"> Positive Advanced NSCLC</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1716A4DE" w:rsidR="00F369F8" w:rsidRPr="00EB0EEF" w:rsidRDefault="001A3891" w:rsidP="00EB0EEF">
            <w:pPr>
              <w:pStyle w:val="DocumentTitle"/>
              <w:tabs>
                <w:tab w:val="left" w:pos="1074"/>
              </w:tabs>
              <w:spacing w:before="0" w:after="0"/>
              <w:rPr>
                <w:sz w:val="18"/>
                <w:szCs w:val="20"/>
              </w:rPr>
            </w:pPr>
            <w:r>
              <w:rPr>
                <w:sz w:val="18"/>
                <w:szCs w:val="20"/>
              </w:rPr>
              <w:t>A</w:t>
            </w:r>
            <w:r w:rsidRPr="001A3891">
              <w:rPr>
                <w:sz w:val="18"/>
                <w:szCs w:val="20"/>
              </w:rPr>
              <w:t>s a single agent as first-line treatment for patients with ROS1-positive advanced non-small cell lung cancer (NSCLC).</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EBEBF09" w14:textId="77777777" w:rsidR="001A3891" w:rsidRPr="001A3891" w:rsidRDefault="00A37C0C" w:rsidP="001A3891">
            <w:pPr>
              <w:pStyle w:val="Heading3"/>
              <w:numPr>
                <w:ilvl w:val="0"/>
                <w:numId w:val="48"/>
              </w:numPr>
              <w:outlineLvl w:val="2"/>
              <w:rPr>
                <w:rFonts w:ascii="Arial" w:hAnsi="Arial" w:cs="Arial"/>
                <w:color w:val="000000"/>
                <w:sz w:val="18"/>
                <w:szCs w:val="18"/>
                <w:u w:val="single"/>
              </w:rPr>
            </w:pPr>
            <w:hyperlink r:id="rId14" w:tgtFrame="_blank" w:history="1">
              <w:r w:rsidR="001A3891" w:rsidRPr="001A3891">
                <w:rPr>
                  <w:rStyle w:val="Hyperlink"/>
                  <w:rFonts w:ascii="Arial" w:hAnsi="Arial" w:cs="Arial"/>
                  <w:bCs/>
                  <w:sz w:val="18"/>
                  <w:szCs w:val="18"/>
                  <w:bdr w:val="none" w:sz="0" w:space="0" w:color="auto" w:frame="1"/>
                </w:rPr>
                <w:t>EUROS1 cohort (Mazieres et al, JCO 2015)</w:t>
              </w:r>
            </w:hyperlink>
          </w:p>
          <w:p w14:paraId="7AB182B0" w14:textId="77777777" w:rsidR="001A3891" w:rsidRPr="001A3891" w:rsidRDefault="00A37C0C" w:rsidP="001A3891">
            <w:pPr>
              <w:pStyle w:val="Heading3"/>
              <w:numPr>
                <w:ilvl w:val="0"/>
                <w:numId w:val="48"/>
              </w:numPr>
              <w:outlineLvl w:val="2"/>
              <w:rPr>
                <w:rFonts w:ascii="Arial" w:hAnsi="Arial" w:cs="Arial"/>
                <w:color w:val="000000"/>
                <w:sz w:val="18"/>
                <w:szCs w:val="18"/>
                <w:u w:val="single"/>
              </w:rPr>
            </w:pPr>
            <w:hyperlink r:id="rId15" w:tgtFrame="_blank" w:history="1">
              <w:r w:rsidR="001A3891" w:rsidRPr="001A3891">
                <w:rPr>
                  <w:rStyle w:val="Hyperlink"/>
                  <w:rFonts w:ascii="Arial" w:hAnsi="Arial" w:cs="Arial"/>
                  <w:bCs/>
                  <w:sz w:val="18"/>
                  <w:szCs w:val="18"/>
                  <w:bdr w:val="none" w:sz="0" w:space="0" w:color="auto" w:frame="1"/>
                </w:rPr>
                <w:t>MA07.05 EUCROSS (Michels et al. JTO 2017)</w:t>
              </w:r>
            </w:hyperlink>
          </w:p>
          <w:p w14:paraId="52AF8FBD" w14:textId="0A0CA51A" w:rsidR="001A3891" w:rsidRPr="001A3891" w:rsidRDefault="00A37C0C" w:rsidP="001A3891">
            <w:pPr>
              <w:pStyle w:val="Heading3"/>
              <w:numPr>
                <w:ilvl w:val="0"/>
                <w:numId w:val="48"/>
              </w:numPr>
              <w:outlineLvl w:val="2"/>
              <w:rPr>
                <w:rFonts w:ascii="Arial" w:hAnsi="Arial" w:cs="Arial"/>
                <w:b w:val="0"/>
                <w:color w:val="000000"/>
                <w:sz w:val="21"/>
                <w:szCs w:val="21"/>
              </w:rPr>
            </w:pPr>
            <w:hyperlink r:id="rId16" w:tgtFrame="_blank" w:history="1">
              <w:r w:rsidR="001A3891" w:rsidRPr="001A3891">
                <w:rPr>
                  <w:rStyle w:val="Hyperlink"/>
                  <w:rFonts w:ascii="Arial" w:hAnsi="Arial" w:cs="Arial"/>
                  <w:bCs/>
                  <w:sz w:val="18"/>
                  <w:szCs w:val="18"/>
                  <w:bdr w:val="none" w:sz="0" w:space="0" w:color="auto" w:frame="1"/>
                </w:rPr>
                <w:t>Wu et al, JCO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1A11F210" w14:textId="3F5FC7AD" w:rsidR="001A3891" w:rsidRPr="001A3891" w:rsidRDefault="001A3891" w:rsidP="00EB0EEF">
            <w:pPr>
              <w:pStyle w:val="DocumentTitle"/>
              <w:tabs>
                <w:tab w:val="left" w:pos="1074"/>
              </w:tabs>
              <w:spacing w:before="0" w:after="0"/>
              <w:rPr>
                <w:sz w:val="18"/>
                <w:szCs w:val="20"/>
              </w:rPr>
            </w:pPr>
            <w:r w:rsidRPr="001A3891">
              <w:rPr>
                <w:sz w:val="18"/>
                <w:szCs w:val="20"/>
              </w:rPr>
              <w:t>25 August 2017</w:t>
            </w:r>
          </w:p>
          <w:p w14:paraId="51DE0EBD" w14:textId="02E0280D" w:rsidR="001A3891" w:rsidRPr="001A3891" w:rsidRDefault="001A3891" w:rsidP="001A3891">
            <w:pPr>
              <w:pStyle w:val="DocumentTitle"/>
              <w:tabs>
                <w:tab w:val="left" w:pos="1074"/>
              </w:tabs>
              <w:spacing w:after="0"/>
              <w:rPr>
                <w:rStyle w:val="Hyperlink"/>
                <w:sz w:val="18"/>
                <w:szCs w:val="20"/>
              </w:rPr>
            </w:pPr>
            <w:r>
              <w:rPr>
                <w:sz w:val="18"/>
                <w:szCs w:val="20"/>
              </w:rPr>
              <w:fldChar w:fldCharType="begin"/>
            </w:r>
            <w:r>
              <w:rPr>
                <w:sz w:val="18"/>
                <w:szCs w:val="20"/>
              </w:rPr>
              <w:instrText xml:space="preserve"> HYPERLINK "https://www.pfizer.ca/sites/g/files/g10037206/f/201711/XALKORI_PM_DC_198322_25Aug2017_E.pdf" </w:instrText>
            </w:r>
            <w:r>
              <w:rPr>
                <w:sz w:val="18"/>
                <w:szCs w:val="20"/>
              </w:rPr>
              <w:fldChar w:fldCharType="separate"/>
            </w:r>
            <w:r w:rsidRPr="001A3891">
              <w:rPr>
                <w:rStyle w:val="Hyperlink"/>
                <w:sz w:val="18"/>
                <w:szCs w:val="20"/>
              </w:rPr>
              <w:t>As monotherapy for use in patients with ROS1-positive locally advanced</w:t>
            </w:r>
          </w:p>
          <w:p w14:paraId="547CC765" w14:textId="309E2E37" w:rsidR="00275E1C" w:rsidRPr="001A3891" w:rsidRDefault="001A3891" w:rsidP="00EB0EEF">
            <w:pPr>
              <w:pStyle w:val="DocumentTitle"/>
              <w:tabs>
                <w:tab w:val="left" w:pos="1074"/>
              </w:tabs>
              <w:spacing w:before="0" w:after="0"/>
              <w:rPr>
                <w:sz w:val="18"/>
                <w:szCs w:val="20"/>
              </w:rPr>
            </w:pPr>
            <w:r w:rsidRPr="001A3891">
              <w:rPr>
                <w:rStyle w:val="Hyperlink"/>
                <w:sz w:val="18"/>
                <w:szCs w:val="20"/>
              </w:rPr>
              <w:t>(not amenable to curative therapy) or metastatic NSCLC.</w:t>
            </w:r>
            <w:r>
              <w:rPr>
                <w:sz w:val="18"/>
                <w:szCs w:val="20"/>
              </w:rPr>
              <w:fldChar w:fldCharType="end"/>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1CC97091" w14:textId="77E2B02E" w:rsidR="001A3891" w:rsidRPr="001A3891" w:rsidRDefault="001A3891" w:rsidP="001A3891">
            <w:pPr>
              <w:pStyle w:val="DocumentTitle"/>
              <w:tabs>
                <w:tab w:val="left" w:pos="1074"/>
              </w:tabs>
              <w:spacing w:before="0" w:after="0"/>
              <w:rPr>
                <w:sz w:val="18"/>
                <w:szCs w:val="20"/>
              </w:rPr>
            </w:pPr>
            <w:r w:rsidRPr="001A3891">
              <w:rPr>
                <w:sz w:val="18"/>
                <w:szCs w:val="20"/>
              </w:rPr>
              <w:t>March 11, 2016</w:t>
            </w:r>
          </w:p>
          <w:p w14:paraId="4E8DC57A" w14:textId="77777777" w:rsidR="001A3891" w:rsidRPr="001A3891" w:rsidRDefault="001A3891" w:rsidP="001A3891">
            <w:pPr>
              <w:pStyle w:val="DocumentTitle"/>
              <w:tabs>
                <w:tab w:val="left" w:pos="1074"/>
              </w:tabs>
              <w:spacing w:before="0" w:after="0"/>
              <w:rPr>
                <w:sz w:val="18"/>
                <w:szCs w:val="20"/>
              </w:rPr>
            </w:pPr>
          </w:p>
          <w:p w14:paraId="2EE07483" w14:textId="0E257A08" w:rsidR="00275E1C" w:rsidRPr="00F54ED4" w:rsidRDefault="00A37C0C" w:rsidP="00F54ED4">
            <w:pPr>
              <w:pStyle w:val="DocumentTitle"/>
              <w:tabs>
                <w:tab w:val="left" w:pos="1074"/>
              </w:tabs>
              <w:spacing w:before="0" w:after="0"/>
              <w:rPr>
                <w:sz w:val="18"/>
                <w:szCs w:val="20"/>
              </w:rPr>
            </w:pPr>
            <w:hyperlink r:id="rId17" w:history="1">
              <w:r w:rsidR="001A3891" w:rsidRPr="001A3891">
                <w:rPr>
                  <w:rStyle w:val="Hyperlink"/>
                  <w:sz w:val="18"/>
                  <w:szCs w:val="20"/>
                </w:rPr>
                <w:t>for the treatment of patients with metastatic non-small cell lung cancer (NSCLC) whose tumors are ROS1-positive.</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3D3859F2" w:rsidR="00F369F8" w:rsidRPr="00EB0EEF" w:rsidRDefault="00A37C0C" w:rsidP="00EB0EEF">
            <w:pPr>
              <w:pStyle w:val="DocumentTitle"/>
              <w:tabs>
                <w:tab w:val="left" w:pos="1074"/>
              </w:tabs>
              <w:spacing w:before="0" w:after="0"/>
              <w:rPr>
                <w:color w:val="C00000"/>
                <w:sz w:val="18"/>
                <w:szCs w:val="20"/>
              </w:rPr>
            </w:pPr>
            <w:hyperlink r:id="rId18" w:history="1">
              <w:r w:rsidR="00F54ED4" w:rsidRPr="00F54ED4">
                <w:rPr>
                  <w:rStyle w:val="Hyperlink"/>
                  <w:sz w:val="18"/>
                  <w:szCs w:val="20"/>
                </w:rPr>
                <w:t>21 July 2016</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35DF7022" w14:textId="00F27EA1" w:rsidR="00F54ED4" w:rsidRPr="00F54ED4" w:rsidRDefault="00F54ED4" w:rsidP="00EB0EEF">
            <w:pPr>
              <w:pStyle w:val="DocumentTitle"/>
              <w:tabs>
                <w:tab w:val="left" w:pos="1074"/>
              </w:tabs>
              <w:spacing w:before="0" w:after="0"/>
              <w:rPr>
                <w:sz w:val="18"/>
                <w:szCs w:val="20"/>
              </w:rPr>
            </w:pPr>
            <w:r w:rsidRPr="00F54ED4">
              <w:rPr>
                <w:sz w:val="18"/>
                <w:szCs w:val="20"/>
              </w:rPr>
              <w:t xml:space="preserve">Ellis PM, Vella ET, Ung YC. Systemic treatment for patients with advanced non-small cell lung cancer. </w:t>
            </w:r>
            <w:hyperlink r:id="rId19" w:history="1">
              <w:r w:rsidRPr="00F54ED4">
                <w:rPr>
                  <w:rStyle w:val="Hyperlink"/>
                  <w:sz w:val="18"/>
                  <w:szCs w:val="20"/>
                </w:rPr>
                <w:t>Toronto (ON): Cancer Care Ontario; 2016 November 14. Program in Evidence-Based Care Guideline No.: 7-10 Version 3.</w:t>
              </w:r>
            </w:hyperlink>
          </w:p>
          <w:p w14:paraId="57DD8C4F" w14:textId="77777777" w:rsidR="00F54ED4" w:rsidRDefault="00F54ED4" w:rsidP="00EB0EEF">
            <w:pPr>
              <w:pStyle w:val="DocumentTitle"/>
              <w:tabs>
                <w:tab w:val="left" w:pos="1074"/>
              </w:tabs>
              <w:spacing w:before="0" w:after="0"/>
              <w:rPr>
                <w:color w:val="C00000"/>
                <w:sz w:val="18"/>
                <w:szCs w:val="20"/>
              </w:rPr>
            </w:pPr>
          </w:p>
          <w:p w14:paraId="71F093F8" w14:textId="078410EF" w:rsidR="00F54ED4" w:rsidRDefault="00F54ED4" w:rsidP="00EB0EEF">
            <w:pPr>
              <w:pStyle w:val="DocumentTitle"/>
              <w:tabs>
                <w:tab w:val="left" w:pos="1074"/>
              </w:tabs>
              <w:spacing w:before="0" w:after="0"/>
              <w:rPr>
                <w:color w:val="C00000"/>
                <w:sz w:val="18"/>
                <w:szCs w:val="20"/>
              </w:rPr>
            </w:pPr>
            <w:r w:rsidRPr="007F531C">
              <w:rPr>
                <w:sz w:val="18"/>
                <w:szCs w:val="18"/>
              </w:rPr>
              <w:t>Non–Small Cell Lung Cancer, Version 5.201</w:t>
            </w:r>
            <w:r>
              <w:rPr>
                <w:sz w:val="18"/>
                <w:szCs w:val="18"/>
              </w:rPr>
              <w:t>8</w:t>
            </w:r>
            <w:r w:rsidRPr="007F531C">
              <w:rPr>
                <w:sz w:val="18"/>
                <w:szCs w:val="18"/>
              </w:rPr>
              <w:t>, NCCN Clinical P</w:t>
            </w:r>
            <w:r>
              <w:rPr>
                <w:sz w:val="18"/>
                <w:szCs w:val="18"/>
              </w:rPr>
              <w:t xml:space="preserve">ractice Guidelines in Oncology. Available from: </w:t>
            </w:r>
            <w:hyperlink r:id="rId20" w:history="1">
              <w:r w:rsidRPr="005B58F6">
                <w:rPr>
                  <w:rStyle w:val="Hyperlink"/>
                  <w:sz w:val="18"/>
                  <w:szCs w:val="18"/>
                </w:rPr>
                <w:t>https://www.nccn.org/professionals/physician_gls/pdf/nscl.pdf</w:t>
              </w:r>
            </w:hyperlink>
            <w:r>
              <w:rPr>
                <w:sz w:val="18"/>
                <w:szCs w:val="18"/>
              </w:rPr>
              <w:t xml:space="preserve"> </w:t>
            </w:r>
          </w:p>
          <w:p w14:paraId="356974C0" w14:textId="77777777" w:rsidR="00F54ED4" w:rsidRDefault="00F54ED4" w:rsidP="00EB0EEF">
            <w:pPr>
              <w:pStyle w:val="DocumentTitle"/>
              <w:tabs>
                <w:tab w:val="left" w:pos="1074"/>
              </w:tabs>
              <w:spacing w:before="0" w:after="0"/>
              <w:rPr>
                <w:color w:val="C00000"/>
                <w:sz w:val="18"/>
                <w:szCs w:val="20"/>
              </w:rPr>
            </w:pPr>
          </w:p>
          <w:p w14:paraId="17E99E46" w14:textId="2CEB3034" w:rsidR="00420EEA" w:rsidRPr="00F54ED4" w:rsidRDefault="00F54ED4" w:rsidP="00F54ED4">
            <w:pPr>
              <w:pStyle w:val="DocumentTitle"/>
              <w:tabs>
                <w:tab w:val="left" w:pos="1074"/>
              </w:tabs>
              <w:spacing w:before="0" w:after="0"/>
              <w:rPr>
                <w:sz w:val="18"/>
                <w:szCs w:val="18"/>
              </w:rPr>
            </w:pPr>
            <w:r w:rsidRPr="00F54ED4">
              <w:rPr>
                <w:sz w:val="18"/>
                <w:szCs w:val="18"/>
              </w:rPr>
              <w:t>Hanna N, Johnson D, Temin S, et al. Systemic Therapy for Stage IV Non-Small-Cell Lung Cancer: American Society of Clinical Oncology Clinical Practice Guideline Update.</w:t>
            </w:r>
            <w:r>
              <w:rPr>
                <w:sz w:val="18"/>
                <w:szCs w:val="18"/>
              </w:rPr>
              <w:t xml:space="preserve"> </w:t>
            </w:r>
            <w:hyperlink r:id="rId21" w:history="1">
              <w:r w:rsidRPr="00F54ED4">
                <w:rPr>
                  <w:rStyle w:val="Hyperlink"/>
                  <w:sz w:val="18"/>
                  <w:szCs w:val="18"/>
                </w:rPr>
                <w:t>J Clin Oncol 2017 35:30, 3484-3515.</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6E1516CA" w:rsidR="00420EEA" w:rsidRPr="00EB0EEF" w:rsidRDefault="00F54ED4" w:rsidP="00F54ED4">
            <w:pPr>
              <w:pStyle w:val="DocumentTitle"/>
              <w:tabs>
                <w:tab w:val="left" w:pos="1074"/>
              </w:tabs>
              <w:spacing w:before="0" w:after="0"/>
              <w:rPr>
                <w:color w:val="C00000"/>
                <w:sz w:val="18"/>
                <w:szCs w:val="20"/>
              </w:rPr>
            </w:pPr>
            <w:r w:rsidRPr="00F54ED4">
              <w:rPr>
                <w:sz w:val="18"/>
                <w:szCs w:val="20"/>
              </w:rPr>
              <w:t xml:space="preserve">The standard of care for patients with ROS-1 mutation positive NSCLC is chemotherapy (e.g., cisplatin plus pemetrexed). Patients could also receive an ALK inhibitor (e.g., crizotinib) or pembrolizumab.  </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A37C0C"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041FC9B" w14:textId="748EB487" w:rsidR="00F54ED4" w:rsidRPr="00F54ED4" w:rsidRDefault="00364061" w:rsidP="00F54ED4">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r w:rsidR="00F54ED4">
        <w:rPr>
          <w:rFonts w:ascii="Arial" w:hAnsi="Arial" w:cs="Arial"/>
          <w:sz w:val="18"/>
        </w:rPr>
        <w:t xml:space="preserve"> </w:t>
      </w:r>
    </w:p>
    <w:p w14:paraId="28ECD222" w14:textId="10E7C7E1" w:rsidR="00F54ED4" w:rsidRDefault="00F54ED4" w:rsidP="00F54ED4">
      <w:pPr>
        <w:pStyle w:val="pCODR1Body"/>
        <w:spacing w:after="0"/>
        <w:ind w:left="426"/>
        <w:rPr>
          <w:rFonts w:ascii="Arial" w:hAnsi="Arial" w:cs="Arial"/>
          <w:sz w:val="18"/>
        </w:rPr>
      </w:pPr>
      <w:bookmarkStart w:id="8" w:name="_GoBack"/>
      <w:r>
        <w:rPr>
          <w:rFonts w:ascii="Arial" w:hAnsi="Arial" w:cs="Arial"/>
          <w:b/>
          <w:sz w:val="18"/>
        </w:rPr>
        <w:t xml:space="preserve">4.1. </w:t>
      </w:r>
      <w:r w:rsidRPr="00F54ED4">
        <w:rPr>
          <w:rFonts w:ascii="Arial" w:hAnsi="Arial" w:cs="Arial"/>
          <w:sz w:val="18"/>
        </w:rPr>
        <w:t xml:space="preserve">In regards to question 3.4 above, </w:t>
      </w:r>
      <w:r>
        <w:rPr>
          <w:rFonts w:ascii="Arial" w:hAnsi="Arial" w:cs="Arial"/>
          <w:sz w:val="18"/>
        </w:rPr>
        <w:t xml:space="preserve">please consider the optimal sequencing following treatment with crizotinib, specifically: </w:t>
      </w:r>
      <w:r w:rsidRPr="00F54ED4">
        <w:rPr>
          <w:rFonts w:ascii="Arial" w:hAnsi="Arial" w:cs="Arial"/>
          <w:sz w:val="18"/>
        </w:rPr>
        <w:t>chemotherapy, PD-1</w:t>
      </w:r>
      <w:r>
        <w:rPr>
          <w:rFonts w:ascii="Arial" w:hAnsi="Arial" w:cs="Arial"/>
          <w:sz w:val="18"/>
        </w:rPr>
        <w:t xml:space="preserve"> </w:t>
      </w:r>
      <w:r w:rsidRPr="00F54ED4">
        <w:rPr>
          <w:rFonts w:ascii="Arial" w:hAnsi="Arial" w:cs="Arial"/>
          <w:sz w:val="18"/>
        </w:rPr>
        <w:t>or PD-L1 inhibitors (e.g., nivoluma</w:t>
      </w:r>
      <w:r>
        <w:rPr>
          <w:rFonts w:ascii="Arial" w:hAnsi="Arial" w:cs="Arial"/>
          <w:sz w:val="18"/>
        </w:rPr>
        <w:t xml:space="preserve">b, pembrolizumab, atezolizumab). In addition, whether </w:t>
      </w:r>
      <w:r w:rsidR="00DA0B33">
        <w:rPr>
          <w:rFonts w:ascii="Arial" w:hAnsi="Arial" w:cs="Arial"/>
          <w:sz w:val="18"/>
        </w:rPr>
        <w:t>the same</w:t>
      </w:r>
      <w:r>
        <w:rPr>
          <w:rFonts w:ascii="Arial" w:hAnsi="Arial" w:cs="Arial"/>
          <w:sz w:val="18"/>
        </w:rPr>
        <w:t xml:space="preserve"> </w:t>
      </w:r>
      <w:r w:rsidRPr="00F54ED4">
        <w:rPr>
          <w:rFonts w:ascii="Arial" w:hAnsi="Arial" w:cs="Arial"/>
          <w:sz w:val="18"/>
        </w:rPr>
        <w:t>treatment algorithm for crizotinib in ALK positive patients ap</w:t>
      </w:r>
      <w:r>
        <w:rPr>
          <w:rFonts w:ascii="Arial" w:hAnsi="Arial" w:cs="Arial"/>
          <w:sz w:val="18"/>
        </w:rPr>
        <w:t xml:space="preserve">ply for ROS-1 positive patients. </w:t>
      </w:r>
    </w:p>
    <w:p w14:paraId="260C5A94" w14:textId="77777777" w:rsidR="00F54ED4" w:rsidRDefault="00F54ED4" w:rsidP="00F54ED4">
      <w:pPr>
        <w:pStyle w:val="pCODR1Body"/>
        <w:spacing w:after="0"/>
        <w:ind w:left="426"/>
        <w:rPr>
          <w:rFonts w:ascii="Arial" w:hAnsi="Arial" w:cs="Arial"/>
          <w:b/>
          <w:sz w:val="18"/>
        </w:rPr>
      </w:pPr>
    </w:p>
    <w:p w14:paraId="1D413698" w14:textId="2555823A" w:rsidR="00F54ED4" w:rsidRDefault="00F54ED4" w:rsidP="00F54ED4">
      <w:pPr>
        <w:pStyle w:val="pCODR1Body"/>
        <w:spacing w:after="0"/>
        <w:ind w:left="426"/>
        <w:rPr>
          <w:rFonts w:ascii="Arial" w:hAnsi="Arial" w:cs="Arial"/>
          <w:sz w:val="18"/>
        </w:rPr>
      </w:pPr>
      <w:r>
        <w:rPr>
          <w:rFonts w:ascii="Arial" w:hAnsi="Arial" w:cs="Arial"/>
          <w:b/>
          <w:sz w:val="18"/>
        </w:rPr>
        <w:t xml:space="preserve">4.2. </w:t>
      </w:r>
      <w:r w:rsidR="00A90699">
        <w:rPr>
          <w:rFonts w:ascii="Arial" w:hAnsi="Arial" w:cs="Arial"/>
          <w:sz w:val="18"/>
        </w:rPr>
        <w:t>I</w:t>
      </w:r>
      <w:r>
        <w:rPr>
          <w:rFonts w:ascii="Arial" w:hAnsi="Arial" w:cs="Arial"/>
          <w:sz w:val="18"/>
        </w:rPr>
        <w:t xml:space="preserve">n clinical practice, </w:t>
      </w:r>
      <w:r w:rsidRPr="00F54ED4">
        <w:rPr>
          <w:rFonts w:ascii="Arial" w:hAnsi="Arial" w:cs="Arial"/>
          <w:sz w:val="18"/>
        </w:rPr>
        <w:t>how are patients currently being tested</w:t>
      </w:r>
      <w:r w:rsidR="00A90699">
        <w:rPr>
          <w:rFonts w:ascii="Arial" w:hAnsi="Arial" w:cs="Arial"/>
          <w:sz w:val="18"/>
        </w:rPr>
        <w:t xml:space="preserve"> for ROS-1 mutations</w:t>
      </w:r>
      <w:r w:rsidRPr="00F54ED4">
        <w:rPr>
          <w:rFonts w:ascii="Arial" w:hAnsi="Arial" w:cs="Arial"/>
          <w:sz w:val="18"/>
        </w:rPr>
        <w:t xml:space="preserve">? </w:t>
      </w:r>
      <w:r w:rsidR="00A90699">
        <w:rPr>
          <w:rFonts w:ascii="Arial" w:hAnsi="Arial" w:cs="Arial"/>
          <w:sz w:val="18"/>
        </w:rPr>
        <w:t>If crizotinib was reimbursed for patients with ROS-1 mutations</w:t>
      </w:r>
      <w:r w:rsidR="00A37C0C">
        <w:rPr>
          <w:rFonts w:ascii="Arial" w:hAnsi="Arial" w:cs="Arial"/>
          <w:sz w:val="18"/>
        </w:rPr>
        <w:t xml:space="preserve"> in this setting</w:t>
      </w:r>
      <w:r w:rsidR="00A90699">
        <w:rPr>
          <w:rFonts w:ascii="Arial" w:hAnsi="Arial" w:cs="Arial"/>
          <w:sz w:val="18"/>
        </w:rPr>
        <w:t>, how would the current practice for the testing for ROS-1 mutations change?</w:t>
      </w:r>
      <w:r>
        <w:rPr>
          <w:rFonts w:ascii="Arial" w:hAnsi="Arial" w:cs="Arial"/>
          <w:sz w:val="18"/>
        </w:rPr>
        <w:t xml:space="preserve"> </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F54ED4" w14:paraId="24B099E3" w14:textId="77777777" w:rsidTr="00ED03B4">
        <w:trPr>
          <w:trHeight w:val="440"/>
        </w:trPr>
        <w:tc>
          <w:tcPr>
            <w:tcW w:w="10292" w:type="dxa"/>
          </w:tcPr>
          <w:p w14:paraId="69D8292D" w14:textId="77777777" w:rsidR="00F54ED4" w:rsidRPr="00912AC6" w:rsidRDefault="00F54ED4" w:rsidP="00912AC6">
            <w:pPr>
              <w:pStyle w:val="pCODR01AppendixHeader"/>
              <w:spacing w:before="0" w:after="0"/>
              <w:rPr>
                <w:rFonts w:ascii="Arial" w:hAnsi="Arial" w:cs="Arial"/>
                <w:spacing w:val="0"/>
                <w:sz w:val="18"/>
              </w:rPr>
            </w:pPr>
          </w:p>
        </w:tc>
      </w:tr>
    </w:tbl>
    <w:p w14:paraId="31947F85" w14:textId="77777777" w:rsidR="00F54ED4" w:rsidRPr="00EB0EEF" w:rsidRDefault="00F54ED4" w:rsidP="000028EA">
      <w:pPr>
        <w:pStyle w:val="pCODR1Body"/>
        <w:spacing w:line="276" w:lineRule="auto"/>
        <w:ind w:left="360"/>
        <w:rPr>
          <w:rFonts w:ascii="Arial" w:hAnsi="Arial" w:cs="Arial"/>
          <w:sz w:val="18"/>
        </w:rPr>
      </w:pPr>
    </w:p>
    <w:p w14:paraId="47DF3D3A" w14:textId="2B7B4C9A" w:rsidR="00F54ED4" w:rsidRDefault="00F54ED4" w:rsidP="00F54ED4">
      <w:pPr>
        <w:pStyle w:val="pCODR1Body"/>
        <w:spacing w:after="0"/>
        <w:ind w:left="426"/>
        <w:rPr>
          <w:rFonts w:ascii="Arial" w:hAnsi="Arial" w:cs="Arial"/>
          <w:sz w:val="18"/>
        </w:rPr>
      </w:pPr>
      <w:r>
        <w:rPr>
          <w:rFonts w:ascii="Arial" w:hAnsi="Arial" w:cs="Arial"/>
          <w:b/>
          <w:sz w:val="18"/>
        </w:rPr>
        <w:t xml:space="preserve">4.3. </w:t>
      </w:r>
      <w:r w:rsidRPr="00F54ED4">
        <w:rPr>
          <w:rFonts w:ascii="Arial" w:hAnsi="Arial" w:cs="Arial"/>
          <w:sz w:val="18"/>
        </w:rPr>
        <w:t xml:space="preserve">Please </w:t>
      </w:r>
      <w:r w:rsidR="00912AC6">
        <w:rPr>
          <w:rFonts w:ascii="Arial" w:hAnsi="Arial" w:cs="Arial"/>
          <w:sz w:val="18"/>
        </w:rPr>
        <w:t xml:space="preserve">comment on whether </w:t>
      </w:r>
      <w:r w:rsidRPr="00F54ED4">
        <w:rPr>
          <w:rFonts w:ascii="Arial" w:hAnsi="Arial" w:cs="Arial"/>
          <w:sz w:val="18"/>
        </w:rPr>
        <w:t>ROS-1, EGFR, and ALK mutations are mutually exclusive. Can a patient present with more than one mutation? If yes, which mutation would you treat first?</w:t>
      </w:r>
      <w:r>
        <w:rPr>
          <w:rFonts w:ascii="Arial" w:hAnsi="Arial" w:cs="Arial"/>
          <w:sz w:val="18"/>
        </w:rPr>
        <w:t xml:space="preserve"> </w:t>
      </w:r>
    </w:p>
    <w:p w14:paraId="1890AB62" w14:textId="1819E958" w:rsidR="00F54ED4" w:rsidRDefault="00F54ED4" w:rsidP="00912AC6">
      <w:pPr>
        <w:pStyle w:val="pCODR1Body"/>
        <w:numPr>
          <w:ilvl w:val="2"/>
          <w:numId w:val="51"/>
        </w:numPr>
        <w:spacing w:after="0"/>
        <w:ind w:left="1276" w:hanging="567"/>
        <w:rPr>
          <w:rFonts w:ascii="Arial" w:hAnsi="Arial" w:cs="Arial"/>
          <w:sz w:val="18"/>
        </w:rPr>
      </w:pPr>
      <w:r w:rsidRPr="00F54ED4">
        <w:rPr>
          <w:rFonts w:ascii="Arial" w:hAnsi="Arial" w:cs="Arial"/>
          <w:sz w:val="18"/>
        </w:rPr>
        <w:t>Can a patient develop a mutation to either ALK, EGFR, or ROS-1 over time? If yes, how are these patients clinically managed?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F54ED4" w14:paraId="3580BD49" w14:textId="77777777" w:rsidTr="00ED03B4">
        <w:trPr>
          <w:trHeight w:val="440"/>
        </w:trPr>
        <w:tc>
          <w:tcPr>
            <w:tcW w:w="10292" w:type="dxa"/>
          </w:tcPr>
          <w:p w14:paraId="010B9C88" w14:textId="77777777" w:rsidR="00F54ED4" w:rsidRPr="00912AC6" w:rsidRDefault="00F54ED4" w:rsidP="00912AC6">
            <w:pPr>
              <w:pStyle w:val="pCODR01AppendixHeader"/>
              <w:spacing w:before="0" w:after="0"/>
              <w:rPr>
                <w:rFonts w:ascii="Arial" w:hAnsi="Arial" w:cs="Arial"/>
                <w:spacing w:val="0"/>
                <w:sz w:val="18"/>
              </w:rPr>
            </w:pPr>
          </w:p>
        </w:tc>
      </w:tr>
    </w:tbl>
    <w:p w14:paraId="748E0330" w14:textId="77777777" w:rsidR="00912AC6" w:rsidRDefault="00912AC6" w:rsidP="00912AC6">
      <w:pPr>
        <w:pStyle w:val="pCODR1Body"/>
        <w:spacing w:after="0"/>
        <w:ind w:left="426"/>
        <w:rPr>
          <w:rFonts w:ascii="Arial" w:hAnsi="Arial" w:cs="Arial"/>
          <w:b/>
          <w:sz w:val="18"/>
        </w:rPr>
      </w:pPr>
    </w:p>
    <w:p w14:paraId="00F966F4" w14:textId="381B95CA" w:rsidR="00B44453" w:rsidRPr="00EB0EEF" w:rsidRDefault="00912AC6" w:rsidP="00912AC6">
      <w:pPr>
        <w:pStyle w:val="pCODR1Body"/>
        <w:spacing w:after="0"/>
        <w:ind w:left="426"/>
        <w:rPr>
          <w:rFonts w:ascii="Arial" w:hAnsi="Arial" w:cs="Arial"/>
          <w:sz w:val="18"/>
        </w:rPr>
      </w:pPr>
      <w:r>
        <w:rPr>
          <w:rFonts w:ascii="Arial" w:hAnsi="Arial" w:cs="Arial"/>
          <w:b/>
          <w:sz w:val="18"/>
        </w:rPr>
        <w:t xml:space="preserve">4.4. </w:t>
      </w:r>
      <w:r>
        <w:rPr>
          <w:rFonts w:ascii="Arial" w:hAnsi="Arial" w:cs="Arial"/>
          <w:sz w:val="18"/>
        </w:rPr>
        <w:t>In clinical practice, c</w:t>
      </w:r>
      <w:r w:rsidRPr="00912AC6">
        <w:rPr>
          <w:rFonts w:ascii="Arial" w:hAnsi="Arial" w:cs="Arial"/>
          <w:sz w:val="18"/>
        </w:rPr>
        <w:t xml:space="preserve">an ALK inhibitors be used interchangeably for patients with a ROS-1 mutation? </w:t>
      </w:r>
      <w:r>
        <w:rPr>
          <w:rFonts w:ascii="Arial" w:hAnsi="Arial" w:cs="Arial"/>
          <w:sz w:val="18"/>
        </w:rPr>
        <w:t xml:space="preserve">If yes, what is the preferred ALK inhibitor? </w:t>
      </w:r>
      <w:r w:rsidRPr="00DA0C55">
        <w:rPr>
          <w:rFonts w:ascii="Arial" w:hAnsi="Arial" w:cs="Arial"/>
          <w:sz w:val="18"/>
          <w:szCs w:val="18"/>
        </w:rPr>
        <w:t>Please comment on the preference considering patient preference, efficacy, safety, and administration.</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028EA" w14:paraId="5247003C" w14:textId="77777777" w:rsidTr="000028EA">
        <w:tc>
          <w:tcPr>
            <w:tcW w:w="10346" w:type="dxa"/>
          </w:tcPr>
          <w:p w14:paraId="42037B7A" w14:textId="77777777" w:rsidR="000028EA" w:rsidRDefault="000028EA" w:rsidP="00912AC6">
            <w:pPr>
              <w:pStyle w:val="pCODR01AppendixHeader"/>
              <w:spacing w:before="0" w:after="0"/>
              <w:rPr>
                <w:rFonts w:ascii="Arial" w:hAnsi="Arial" w:cs="Arial"/>
                <w:spacing w:val="0"/>
                <w:sz w:val="18"/>
              </w:rPr>
            </w:pPr>
            <w:bookmarkStart w:id="9" w:name="_Appendix_A:_pCODR"/>
            <w:bookmarkStart w:id="10" w:name="_Toc439923603"/>
            <w:bookmarkEnd w:id="9"/>
            <w:bookmarkEnd w:id="8"/>
          </w:p>
          <w:p w14:paraId="263B76BD" w14:textId="77777777" w:rsidR="0071643D" w:rsidRPr="00912AC6" w:rsidRDefault="0071643D" w:rsidP="00912AC6">
            <w:pPr>
              <w:pStyle w:val="pCODR01AppendixHeader"/>
              <w:spacing w:before="0" w:after="0"/>
              <w:rPr>
                <w:rFonts w:ascii="Arial" w:hAnsi="Arial" w:cs="Arial"/>
                <w:spacing w:val="0"/>
                <w:sz w:val="18"/>
              </w:rPr>
            </w:pPr>
          </w:p>
        </w:tc>
      </w:tr>
    </w:tbl>
    <w:p w14:paraId="0AE0D783" w14:textId="77777777" w:rsidR="00D8302B" w:rsidRPr="00EB0EEF" w:rsidRDefault="00D8302B" w:rsidP="00FB5292">
      <w:pPr>
        <w:pStyle w:val="pCODR01AppendixHeader"/>
        <w:rPr>
          <w:rFonts w:ascii="Arial" w:hAnsi="Arial" w:cs="Arial"/>
          <w:spacing w:val="0"/>
        </w:rPr>
      </w:pPr>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11EF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37C0C">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37C0C">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EC1D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37C0C">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37C0C">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819E8"/>
    <w:multiLevelType w:val="hybridMultilevel"/>
    <w:tmpl w:val="1BB69F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5193032"/>
    <w:multiLevelType w:val="multilevel"/>
    <w:tmpl w:val="47C0074E"/>
    <w:lvl w:ilvl="0">
      <w:start w:val="4"/>
      <w:numFmt w:val="decimal"/>
      <w:lvlText w:val="%1"/>
      <w:lvlJc w:val="left"/>
      <w:pPr>
        <w:ind w:left="405" w:hanging="405"/>
      </w:pPr>
      <w:rPr>
        <w:rFonts w:hint="default"/>
      </w:rPr>
    </w:lvl>
    <w:lvl w:ilvl="1">
      <w:start w:val="3"/>
      <w:numFmt w:val="decimal"/>
      <w:lvlText w:val="%1.%2"/>
      <w:lvlJc w:val="left"/>
      <w:pPr>
        <w:ind w:left="978" w:hanging="405"/>
      </w:pPr>
      <w:rPr>
        <w:rFonts w:hint="default"/>
      </w:rPr>
    </w:lvl>
    <w:lvl w:ilvl="2">
      <w:start w:val="1"/>
      <w:numFmt w:val="decimal"/>
      <w:lvlText w:val="%1.%2.%3"/>
      <w:lvlJc w:val="left"/>
      <w:pPr>
        <w:ind w:left="1866" w:hanging="720"/>
      </w:pPr>
      <w:rPr>
        <w:rFonts w:hint="default"/>
        <w:b/>
      </w:rPr>
    </w:lvl>
    <w:lvl w:ilvl="3">
      <w:start w:val="1"/>
      <w:numFmt w:val="decimal"/>
      <w:lvlText w:val="%1.%2.%3.%4"/>
      <w:lvlJc w:val="left"/>
      <w:pPr>
        <w:ind w:left="2439" w:hanging="720"/>
      </w:pPr>
      <w:rPr>
        <w:rFonts w:hint="default"/>
      </w:rPr>
    </w:lvl>
    <w:lvl w:ilvl="4">
      <w:start w:val="1"/>
      <w:numFmt w:val="decimal"/>
      <w:lvlText w:val="%1.%2.%3.%4.%5"/>
      <w:lvlJc w:val="left"/>
      <w:pPr>
        <w:ind w:left="3012" w:hanging="72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8A63132"/>
    <w:multiLevelType w:val="hybridMultilevel"/>
    <w:tmpl w:val="068A4026"/>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9C4BF5"/>
    <w:multiLevelType w:val="hybridMultilevel"/>
    <w:tmpl w:val="50D8BE4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4"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6"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7"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8"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0"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4"/>
  </w:num>
  <w:num w:numId="15">
    <w:abstractNumId w:val="45"/>
  </w:num>
  <w:num w:numId="16">
    <w:abstractNumId w:val="28"/>
  </w:num>
  <w:num w:numId="17">
    <w:abstractNumId w:val="32"/>
  </w:num>
  <w:num w:numId="18">
    <w:abstractNumId w:val="50"/>
  </w:num>
  <w:num w:numId="19">
    <w:abstractNumId w:val="30"/>
  </w:num>
  <w:num w:numId="20">
    <w:abstractNumId w:val="11"/>
  </w:num>
  <w:num w:numId="21">
    <w:abstractNumId w:val="9"/>
  </w:num>
  <w:num w:numId="22">
    <w:abstractNumId w:val="29"/>
  </w:num>
  <w:num w:numId="23">
    <w:abstractNumId w:val="48"/>
  </w:num>
  <w:num w:numId="24">
    <w:abstractNumId w:val="16"/>
  </w:num>
  <w:num w:numId="25">
    <w:abstractNumId w:val="27"/>
  </w:num>
  <w:num w:numId="26">
    <w:abstractNumId w:val="38"/>
  </w:num>
  <w:num w:numId="27">
    <w:abstractNumId w:val="20"/>
  </w:num>
  <w:num w:numId="28">
    <w:abstractNumId w:val="26"/>
  </w:num>
  <w:num w:numId="29">
    <w:abstractNumId w:val="18"/>
  </w:num>
  <w:num w:numId="30">
    <w:abstractNumId w:val="46"/>
  </w:num>
  <w:num w:numId="31">
    <w:abstractNumId w:val="40"/>
  </w:num>
  <w:num w:numId="32">
    <w:abstractNumId w:val="49"/>
    <w:lvlOverride w:ilvl="0">
      <w:startOverride w:val="1"/>
    </w:lvlOverride>
  </w:num>
  <w:num w:numId="33">
    <w:abstractNumId w:val="37"/>
    <w:lvlOverride w:ilvl="0">
      <w:startOverride w:val="1"/>
    </w:lvlOverride>
  </w:num>
  <w:num w:numId="34">
    <w:abstractNumId w:val="39"/>
  </w:num>
  <w:num w:numId="35">
    <w:abstractNumId w:val="24"/>
  </w:num>
  <w:num w:numId="36">
    <w:abstractNumId w:val="23"/>
  </w:num>
  <w:num w:numId="37">
    <w:abstractNumId w:val="22"/>
  </w:num>
  <w:num w:numId="38">
    <w:abstractNumId w:val="13"/>
  </w:num>
  <w:num w:numId="39">
    <w:abstractNumId w:val="47"/>
  </w:num>
  <w:num w:numId="40">
    <w:abstractNumId w:val="17"/>
  </w:num>
  <w:num w:numId="41">
    <w:abstractNumId w:val="41"/>
  </w:num>
  <w:num w:numId="42">
    <w:abstractNumId w:val="19"/>
  </w:num>
  <w:num w:numId="43">
    <w:abstractNumId w:val="36"/>
  </w:num>
  <w:num w:numId="44">
    <w:abstractNumId w:val="44"/>
  </w:num>
  <w:num w:numId="45">
    <w:abstractNumId w:val="21"/>
  </w:num>
  <w:num w:numId="46">
    <w:abstractNumId w:val="14"/>
  </w:num>
  <w:num w:numId="47">
    <w:abstractNumId w:val="33"/>
  </w:num>
  <w:num w:numId="48">
    <w:abstractNumId w:val="12"/>
  </w:num>
  <w:num w:numId="49">
    <w:abstractNumId w:val="35"/>
  </w:num>
  <w:num w:numId="50">
    <w:abstractNumId w:val="43"/>
  </w:num>
  <w:num w:numId="51">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trackRevisions/>
  <w:defaultTabStop w:val="720"/>
  <w:drawingGridHorizontalSpacing w:val="10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891"/>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43D"/>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AC6"/>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C0C"/>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0699"/>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0CAB"/>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0B33"/>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4ED4"/>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aliases w:val="Table - List Paragraph,List Paragraph1"/>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aliases w:val="Table - List Paragraph Char,List Paragraph1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578661922">
      <w:bodyDiv w:val="1"/>
      <w:marLeft w:val="0"/>
      <w:marRight w:val="0"/>
      <w:marTop w:val="0"/>
      <w:marBottom w:val="0"/>
      <w:divBdr>
        <w:top w:val="none" w:sz="0" w:space="0" w:color="auto"/>
        <w:left w:val="none" w:sz="0" w:space="0" w:color="auto"/>
        <w:bottom w:val="none" w:sz="0" w:space="0" w:color="auto"/>
        <w:right w:val="none" w:sz="0" w:space="0" w:color="auto"/>
      </w:divBdr>
      <w:divsChild>
        <w:div w:id="1774007942">
          <w:marLeft w:val="0"/>
          <w:marRight w:val="0"/>
          <w:marTop w:val="0"/>
          <w:marBottom w:val="0"/>
          <w:divBdr>
            <w:top w:val="none" w:sz="0" w:space="0" w:color="auto"/>
            <w:left w:val="none" w:sz="0" w:space="0" w:color="auto"/>
            <w:bottom w:val="none" w:sz="0" w:space="0" w:color="auto"/>
            <w:right w:val="none" w:sz="0" w:space="0" w:color="auto"/>
          </w:divBdr>
        </w:div>
        <w:div w:id="1322654533">
          <w:marLeft w:val="0"/>
          <w:marRight w:val="0"/>
          <w:marTop w:val="0"/>
          <w:marBottom w:val="0"/>
          <w:divBdr>
            <w:top w:val="none" w:sz="0" w:space="0" w:color="auto"/>
            <w:left w:val="none" w:sz="0" w:space="0" w:color="auto"/>
            <w:bottom w:val="none" w:sz="0" w:space="0" w:color="auto"/>
            <w:right w:val="none" w:sz="0" w:space="0" w:color="auto"/>
          </w:divBdr>
        </w:div>
        <w:div w:id="8865277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www.ema.europa.eu/docs/en_GB/document_library/Summary_of_opinion/human/002489/WC500210818.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ascopubs.org/doi/abs/10.1200/JCO.2017.74.6065"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da.gov/Drugs/InformationOnDrugs/ApprovedDrugs/ucm490391.htm" TargetMode="External"/><Relationship Id="rId2" Type="http://schemas.openxmlformats.org/officeDocument/2006/relationships/numbering" Target="numbering.xml"/><Relationship Id="rId16" Type="http://schemas.openxmlformats.org/officeDocument/2006/relationships/hyperlink" Target="https://www.ncbi.nlm.nih.gov/pubmed/29596029" TargetMode="External"/><Relationship Id="rId20" Type="http://schemas.openxmlformats.org/officeDocument/2006/relationships/hyperlink" Target="https://www.nccn.org/professionals/physician_gls/pdf/nsc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jto.org/article/S1556-0864(16)31669-0/fulltex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ancercareontario.ca/en/guidelines-advice/types-of-cancer/31811"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www.ncbi.nlm.nih.gov/pubmed/2566728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3190-E28D-404B-9D7F-F063F68B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2018-08-24T19:38:00Z</dcterms:modified>
</cp:coreProperties>
</file>