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60974C1C" w:rsidR="00121EB1" w:rsidRPr="00EB0EEF" w:rsidRDefault="009F5990" w:rsidP="00EB0EEF">
            <w:pPr>
              <w:pStyle w:val="DocumentTitle"/>
              <w:tabs>
                <w:tab w:val="left" w:pos="1074"/>
              </w:tabs>
              <w:spacing w:before="0" w:after="0"/>
              <w:rPr>
                <w:sz w:val="18"/>
                <w:szCs w:val="20"/>
              </w:rPr>
            </w:pPr>
            <w:r>
              <w:rPr>
                <w:sz w:val="18"/>
                <w:szCs w:val="20"/>
              </w:rPr>
              <w:t>pCODR 10152</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7F0974FA" w:rsidR="00F369F8" w:rsidRPr="00EB0EEF" w:rsidRDefault="009F5990" w:rsidP="00EB0EEF">
            <w:pPr>
              <w:pStyle w:val="DocumentTitle"/>
              <w:tabs>
                <w:tab w:val="left" w:pos="1074"/>
              </w:tabs>
              <w:spacing w:before="0" w:after="0"/>
              <w:rPr>
                <w:sz w:val="18"/>
                <w:szCs w:val="20"/>
              </w:rPr>
            </w:pPr>
            <w:r w:rsidRPr="009F5990">
              <w:rPr>
                <w:sz w:val="18"/>
                <w:szCs w:val="20"/>
              </w:rPr>
              <w:t>Dabrafenib &amp; Trametinib</w:t>
            </w:r>
            <w:r>
              <w:rPr>
                <w:sz w:val="18"/>
                <w:szCs w:val="20"/>
              </w:rPr>
              <w:t xml:space="preserve"> (Tafinlar &amp; Mekinist)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5152D5FE" w:rsidR="00F369F8" w:rsidRPr="00EB0EEF" w:rsidRDefault="009F5990" w:rsidP="00EB0EEF">
            <w:pPr>
              <w:pStyle w:val="DocumentTitle"/>
              <w:tabs>
                <w:tab w:val="left" w:pos="1074"/>
              </w:tabs>
              <w:spacing w:before="0" w:after="0"/>
              <w:rPr>
                <w:sz w:val="18"/>
                <w:szCs w:val="20"/>
              </w:rPr>
            </w:pPr>
            <w:r w:rsidRPr="009F5990">
              <w:rPr>
                <w:sz w:val="18"/>
                <w:szCs w:val="20"/>
              </w:rPr>
              <w:t>Melanoma Adjuvant Therapy</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0AA8D1F5" w:rsidR="00F369F8" w:rsidRPr="00EB0EEF" w:rsidRDefault="009F5990" w:rsidP="00EB0EEF">
            <w:pPr>
              <w:pStyle w:val="DocumentTitle"/>
              <w:tabs>
                <w:tab w:val="left" w:pos="1074"/>
              </w:tabs>
              <w:spacing w:before="0" w:after="0"/>
              <w:rPr>
                <w:sz w:val="18"/>
                <w:szCs w:val="20"/>
              </w:rPr>
            </w:pPr>
            <w:r w:rsidRPr="009F5990">
              <w:rPr>
                <w:sz w:val="18"/>
                <w:szCs w:val="20"/>
              </w:rPr>
              <w:t>For adjuvant treatment of patients with Stage III melanoma with a BRAF V600 mutation, following resection</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3F2F5F2F" w14:textId="3A40F4F3" w:rsidR="009F5990" w:rsidRDefault="009F5990" w:rsidP="009F5990">
            <w:pPr>
              <w:pStyle w:val="DocumentTitle"/>
              <w:numPr>
                <w:ilvl w:val="0"/>
                <w:numId w:val="44"/>
              </w:numPr>
              <w:tabs>
                <w:tab w:val="left" w:pos="1074"/>
              </w:tabs>
              <w:spacing w:before="0" w:after="0"/>
              <w:rPr>
                <w:sz w:val="18"/>
                <w:szCs w:val="20"/>
              </w:rPr>
            </w:pPr>
            <w:r w:rsidRPr="009F5990">
              <w:rPr>
                <w:sz w:val="18"/>
                <w:szCs w:val="20"/>
              </w:rPr>
              <w:t>COMBI-AD</w:t>
            </w:r>
            <w:r>
              <w:rPr>
                <w:sz w:val="18"/>
                <w:szCs w:val="20"/>
              </w:rPr>
              <w:t xml:space="preserve"> (</w:t>
            </w:r>
            <w:hyperlink r:id="rId14" w:history="1">
              <w:r w:rsidRPr="009F5990">
                <w:rPr>
                  <w:rStyle w:val="Hyperlink"/>
                  <w:sz w:val="18"/>
                  <w:szCs w:val="20"/>
                </w:rPr>
                <w:t>NCT01682083</w:t>
              </w:r>
            </w:hyperlink>
            <w:r>
              <w:rPr>
                <w:sz w:val="18"/>
                <w:szCs w:val="20"/>
              </w:rPr>
              <w:t>)</w:t>
            </w:r>
          </w:p>
          <w:p w14:paraId="52AF8FBD" w14:textId="2FF97A77" w:rsidR="00CC380E" w:rsidRPr="009F5990" w:rsidRDefault="00893CA3" w:rsidP="009F5990">
            <w:pPr>
              <w:pStyle w:val="DocumentTitle"/>
              <w:numPr>
                <w:ilvl w:val="0"/>
                <w:numId w:val="44"/>
              </w:numPr>
              <w:tabs>
                <w:tab w:val="left" w:pos="1074"/>
              </w:tabs>
              <w:spacing w:before="0" w:after="0"/>
              <w:rPr>
                <w:sz w:val="18"/>
                <w:szCs w:val="20"/>
              </w:rPr>
            </w:pPr>
            <w:hyperlink r:id="rId15" w:history="1">
              <w:r w:rsidR="009F5990" w:rsidRPr="009F5990">
                <w:rPr>
                  <w:rStyle w:val="Hyperlink"/>
                  <w:sz w:val="18"/>
                  <w:szCs w:val="20"/>
                </w:rPr>
                <w:t>Long et al, N Engl J Med 2017</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37642703" w:rsidR="00275E1C" w:rsidRPr="00EB0EEF" w:rsidRDefault="009F5990" w:rsidP="009F5990">
            <w:pPr>
              <w:pStyle w:val="DocumentTitle"/>
              <w:tabs>
                <w:tab w:val="left" w:pos="1074"/>
              </w:tabs>
              <w:spacing w:before="0" w:after="0"/>
              <w:rPr>
                <w:color w:val="C00000"/>
                <w:sz w:val="18"/>
                <w:szCs w:val="20"/>
              </w:rPr>
            </w:pPr>
            <w:r w:rsidRPr="009F5990">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3A8234FA" w14:textId="77777777" w:rsidR="009F5990" w:rsidRPr="009F5990" w:rsidRDefault="009F5990" w:rsidP="009F5990">
            <w:pPr>
              <w:pStyle w:val="DocumentTitle"/>
              <w:tabs>
                <w:tab w:val="left" w:pos="1074"/>
              </w:tabs>
              <w:spacing w:before="0" w:after="0"/>
              <w:rPr>
                <w:sz w:val="18"/>
                <w:szCs w:val="20"/>
              </w:rPr>
            </w:pPr>
            <w:r w:rsidRPr="009F5990">
              <w:rPr>
                <w:sz w:val="18"/>
                <w:szCs w:val="20"/>
              </w:rPr>
              <w:t>April 30, 2018</w:t>
            </w:r>
          </w:p>
          <w:p w14:paraId="51874215" w14:textId="77777777" w:rsidR="009F5990" w:rsidRPr="009F5990" w:rsidRDefault="009F5990" w:rsidP="009F5990">
            <w:pPr>
              <w:pStyle w:val="DocumentTitle"/>
              <w:tabs>
                <w:tab w:val="left" w:pos="1074"/>
              </w:tabs>
              <w:spacing w:before="0" w:after="0"/>
              <w:rPr>
                <w:sz w:val="18"/>
                <w:szCs w:val="20"/>
              </w:rPr>
            </w:pPr>
          </w:p>
          <w:p w14:paraId="2EE07483" w14:textId="3C10EBEF" w:rsidR="00275E1C" w:rsidRPr="009F5990" w:rsidRDefault="00893CA3" w:rsidP="009F5990">
            <w:pPr>
              <w:pStyle w:val="DocumentTitle"/>
              <w:tabs>
                <w:tab w:val="left" w:pos="1074"/>
              </w:tabs>
              <w:spacing w:before="0" w:after="0"/>
              <w:rPr>
                <w:sz w:val="18"/>
                <w:szCs w:val="20"/>
              </w:rPr>
            </w:pPr>
            <w:hyperlink r:id="rId16" w:history="1">
              <w:r w:rsidR="009F5990" w:rsidRPr="009F5990">
                <w:rPr>
                  <w:rStyle w:val="Hyperlink"/>
                  <w:sz w:val="18"/>
                  <w:szCs w:val="20"/>
                </w:rPr>
                <w:t>in combination for the adjuvant treatment of patients with melanoma with BRAF V600E or V600K mutations, as detected by an FDA-approved test, and involvement of lymph node(s), following complete resection.</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CFF00A9"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23FA27A1" w:rsidR="00F369F8" w:rsidRPr="00EB0EEF" w:rsidRDefault="00893CA3" w:rsidP="009F5990">
            <w:pPr>
              <w:pStyle w:val="DocumentTitle"/>
              <w:tabs>
                <w:tab w:val="left" w:pos="1074"/>
              </w:tabs>
              <w:spacing w:before="0" w:after="0"/>
              <w:rPr>
                <w:color w:val="C00000"/>
                <w:sz w:val="18"/>
                <w:szCs w:val="20"/>
              </w:rPr>
            </w:pPr>
            <w:hyperlink r:id="rId17" w:history="1">
              <w:r w:rsidR="00275E1C" w:rsidRPr="00893CA3">
                <w:rPr>
                  <w:rStyle w:val="Hyperlink"/>
                  <w:sz w:val="18"/>
                  <w:szCs w:val="20"/>
                </w:rPr>
                <w:t>Pend</w:t>
              </w:r>
              <w:bookmarkStart w:id="0" w:name="_GoBack"/>
              <w:bookmarkEnd w:id="0"/>
              <w:r w:rsidR="00275E1C" w:rsidRPr="00893CA3">
                <w:rPr>
                  <w:rStyle w:val="Hyperlink"/>
                  <w:sz w:val="18"/>
                  <w:szCs w:val="20"/>
                </w:rPr>
                <w:t>i</w:t>
              </w:r>
              <w:r w:rsidR="00275E1C" w:rsidRPr="00893CA3">
                <w:rPr>
                  <w:rStyle w:val="Hyperlink"/>
                  <w:sz w:val="18"/>
                  <w:szCs w:val="20"/>
                </w:rPr>
                <w:t>ng</w:t>
              </w:r>
            </w:hyperlink>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5B41532" w14:textId="66D3D10A" w:rsidR="00420EEA" w:rsidRDefault="00893CA3" w:rsidP="009F5990">
            <w:pPr>
              <w:pStyle w:val="DocumentTitle"/>
              <w:numPr>
                <w:ilvl w:val="0"/>
                <w:numId w:val="48"/>
              </w:numPr>
              <w:tabs>
                <w:tab w:val="left" w:pos="1074"/>
              </w:tabs>
              <w:spacing w:before="0" w:after="0"/>
              <w:rPr>
                <w:sz w:val="18"/>
                <w:szCs w:val="20"/>
              </w:rPr>
            </w:pPr>
            <w:hyperlink r:id="rId18" w:history="1">
              <w:r w:rsidR="009F5990" w:rsidRPr="009F5990">
                <w:rPr>
                  <w:rStyle w:val="Hyperlink"/>
                  <w:sz w:val="18"/>
                  <w:szCs w:val="20"/>
                </w:rPr>
                <w:t>2018 NCCN Melanoma patient guidelines.</w:t>
              </w:r>
            </w:hyperlink>
          </w:p>
          <w:p w14:paraId="17E99E46" w14:textId="5921621F" w:rsidR="009F5990" w:rsidRPr="009F5990" w:rsidRDefault="009F5990" w:rsidP="009F5990">
            <w:pPr>
              <w:pStyle w:val="DocumentTitle"/>
              <w:numPr>
                <w:ilvl w:val="0"/>
                <w:numId w:val="48"/>
              </w:numPr>
              <w:tabs>
                <w:tab w:val="left" w:pos="1074"/>
              </w:tabs>
              <w:spacing w:before="0" w:after="0"/>
              <w:rPr>
                <w:sz w:val="18"/>
                <w:szCs w:val="20"/>
              </w:rPr>
            </w:pPr>
            <w:r w:rsidRPr="009F5990">
              <w:rPr>
                <w:sz w:val="18"/>
                <w:szCs w:val="20"/>
              </w:rPr>
              <w:t>eUpdate – Cutaneous Melanoma Algorithms</w:t>
            </w:r>
            <w:r>
              <w:rPr>
                <w:sz w:val="18"/>
                <w:szCs w:val="20"/>
              </w:rPr>
              <w:t xml:space="preserve">. </w:t>
            </w:r>
            <w:r w:rsidRPr="009F5990">
              <w:rPr>
                <w:sz w:val="18"/>
                <w:szCs w:val="20"/>
              </w:rPr>
              <w:t>Cutaneous melanoma: ESMO Clinical Practice Guidelines for diagnosis, treatment and follow-up.</w:t>
            </w:r>
            <w:r>
              <w:rPr>
                <w:sz w:val="18"/>
                <w:szCs w:val="20"/>
              </w:rPr>
              <w:t xml:space="preserve"> </w:t>
            </w:r>
            <w:hyperlink r:id="rId19" w:history="1">
              <w:r w:rsidRPr="009F5990">
                <w:rPr>
                  <w:rStyle w:val="Hyperlink"/>
                  <w:sz w:val="18"/>
                  <w:szCs w:val="20"/>
                </w:rPr>
                <w:t>Ann Oncol (2015) 26 (suppl 5): v126-v132.</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8D63CAF"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2E9F44A4" w:rsidR="00420EEA" w:rsidRPr="00EB0EEF" w:rsidRDefault="00556691" w:rsidP="00556691">
            <w:pPr>
              <w:pStyle w:val="DocumentTitle"/>
              <w:tabs>
                <w:tab w:val="left" w:pos="1074"/>
              </w:tabs>
              <w:spacing w:before="0" w:after="0"/>
              <w:rPr>
                <w:color w:val="C00000"/>
                <w:sz w:val="18"/>
                <w:szCs w:val="20"/>
              </w:rPr>
            </w:pPr>
            <w:r w:rsidRPr="00556691">
              <w:rPr>
                <w:sz w:val="18"/>
                <w:szCs w:val="20"/>
              </w:rPr>
              <w:t>Currently, high dose interferon alfa is available in all provinces. For those intolerant to or unwilling to undergo interferon alfa therapy, they may receive observation. BRAF/MEK inhibitors (e.g., vemurafenib, cobimetinib), are used for the treatment of patients with unresectable or metastatic melanoma with BRAF V600 mutation. Immunotherapies (e.g., pembrolizumab, nivolumab) may also be available for advanced melanoma irrespective of BRAF status.</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893CA3"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7F06F7A0" w14:textId="1F5125CC" w:rsidR="00565762" w:rsidRPr="00EB0EEF" w:rsidRDefault="00364061" w:rsidP="00565762">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638444FD" w14:textId="0824185D" w:rsidR="00565762" w:rsidRDefault="00556691" w:rsidP="00565762">
      <w:pPr>
        <w:pStyle w:val="pCODR1Body"/>
        <w:spacing w:after="0"/>
        <w:ind w:left="360"/>
        <w:rPr>
          <w:rFonts w:ascii="Arial" w:hAnsi="Arial" w:cs="Arial"/>
          <w:sz w:val="18"/>
        </w:rPr>
      </w:pPr>
      <w:r>
        <w:rPr>
          <w:rFonts w:ascii="Arial" w:hAnsi="Arial" w:cs="Arial"/>
          <w:b/>
          <w:sz w:val="18"/>
        </w:rPr>
        <w:t>4.1</w:t>
      </w:r>
      <w:r>
        <w:rPr>
          <w:rFonts w:ascii="Arial" w:hAnsi="Arial" w:cs="Arial"/>
          <w:sz w:val="18"/>
        </w:rPr>
        <w:t xml:space="preserve">. </w:t>
      </w:r>
      <w:r w:rsidR="00565762" w:rsidRPr="00565762">
        <w:rPr>
          <w:rFonts w:ascii="Arial" w:hAnsi="Arial" w:cs="Arial"/>
          <w:sz w:val="18"/>
        </w:rPr>
        <w:t>In regards to question 3.4 above, please include considerations for use of BRAF/MEK inhibitors, single agent PD-1 immunotherapy (nivolumab or pembrolizumab), and combination immunotherapy (nivolumab + ipilimumab) for both clinical scenarios of relapse during or after adjuvant dabrafenib trametinib.</w:t>
      </w:r>
    </w:p>
    <w:p w14:paraId="0ED2A1CC" w14:textId="77777777" w:rsidR="00565762" w:rsidRDefault="00565762" w:rsidP="00565762">
      <w:pPr>
        <w:pStyle w:val="pCODR1Body"/>
        <w:spacing w:after="0"/>
        <w:ind w:left="360"/>
        <w:rPr>
          <w:rFonts w:ascii="Arial" w:hAnsi="Arial" w:cs="Arial"/>
          <w:sz w:val="18"/>
        </w:rPr>
      </w:pPr>
    </w:p>
    <w:p w14:paraId="2F74EEA7" w14:textId="515EEF37" w:rsidR="00556691" w:rsidRDefault="00565762" w:rsidP="00565762">
      <w:pPr>
        <w:pStyle w:val="pCODR1Body"/>
        <w:spacing w:after="0"/>
        <w:ind w:left="360"/>
        <w:rPr>
          <w:rFonts w:ascii="Arial" w:hAnsi="Arial" w:cs="Arial"/>
          <w:sz w:val="18"/>
        </w:rPr>
      </w:pPr>
      <w:r w:rsidRPr="00565762">
        <w:rPr>
          <w:rFonts w:ascii="Arial" w:hAnsi="Arial" w:cs="Arial"/>
          <w:b/>
          <w:sz w:val="18"/>
        </w:rPr>
        <w:t>4.2.</w:t>
      </w:r>
      <w:r>
        <w:rPr>
          <w:rFonts w:ascii="Arial" w:hAnsi="Arial" w:cs="Arial"/>
          <w:sz w:val="18"/>
        </w:rPr>
        <w:t xml:space="preserve"> </w:t>
      </w:r>
      <w:r w:rsidR="00556691" w:rsidRPr="00556691">
        <w:rPr>
          <w:rFonts w:ascii="Arial" w:hAnsi="Arial" w:cs="Arial"/>
          <w:sz w:val="18"/>
        </w:rPr>
        <w:t>For those patients who relapse with metastatic disease after completing adjuvant dabrafenib trametinib, what time interval (i.e., relapse free period) after completion of adjuvant therapy and the start of a metastatic option would be reasonable?</w:t>
      </w:r>
    </w:p>
    <w:tbl>
      <w:tblPr>
        <w:tblStyle w:val="TableGrid"/>
        <w:tblW w:w="0" w:type="auto"/>
        <w:tblInd w:w="402"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56691" w14:paraId="680AC9AC" w14:textId="77777777" w:rsidTr="00565762">
        <w:trPr>
          <w:trHeight w:val="94"/>
        </w:trPr>
        <w:tc>
          <w:tcPr>
            <w:tcW w:w="10292" w:type="dxa"/>
          </w:tcPr>
          <w:p w14:paraId="5EA4818C" w14:textId="77777777" w:rsidR="00556691" w:rsidRDefault="00556691" w:rsidP="00565762">
            <w:pPr>
              <w:pStyle w:val="pCODR01AppendixHeader"/>
              <w:spacing w:before="0" w:after="0"/>
              <w:rPr>
                <w:rFonts w:ascii="Arial" w:hAnsi="Arial" w:cs="Arial"/>
                <w:spacing w:val="0"/>
              </w:rPr>
            </w:pPr>
          </w:p>
        </w:tc>
      </w:tr>
    </w:tbl>
    <w:p w14:paraId="00E7C852" w14:textId="77777777" w:rsidR="00556691" w:rsidRDefault="00556691" w:rsidP="00565762">
      <w:pPr>
        <w:pStyle w:val="pCODR1Body"/>
        <w:spacing w:after="0"/>
        <w:ind w:left="360"/>
        <w:rPr>
          <w:rFonts w:ascii="Arial" w:hAnsi="Arial" w:cs="Arial"/>
          <w:b/>
          <w:sz w:val="18"/>
        </w:rPr>
      </w:pPr>
    </w:p>
    <w:p w14:paraId="56FC966E" w14:textId="08B6ECAE" w:rsidR="00556691" w:rsidRDefault="00556691" w:rsidP="00565762">
      <w:pPr>
        <w:pStyle w:val="pCODR1Body"/>
        <w:spacing w:after="0"/>
        <w:ind w:left="360"/>
        <w:rPr>
          <w:rFonts w:ascii="Arial" w:hAnsi="Arial" w:cs="Arial"/>
          <w:sz w:val="18"/>
        </w:rPr>
      </w:pPr>
      <w:r>
        <w:rPr>
          <w:rFonts w:ascii="Arial" w:hAnsi="Arial" w:cs="Arial"/>
          <w:b/>
          <w:sz w:val="18"/>
        </w:rPr>
        <w:t>4.</w:t>
      </w:r>
      <w:r w:rsidR="00565762">
        <w:rPr>
          <w:rFonts w:ascii="Arial" w:hAnsi="Arial" w:cs="Arial"/>
          <w:b/>
          <w:sz w:val="18"/>
        </w:rPr>
        <w:t>3</w:t>
      </w:r>
      <w:r>
        <w:rPr>
          <w:rFonts w:ascii="Arial" w:hAnsi="Arial" w:cs="Arial"/>
          <w:sz w:val="18"/>
        </w:rPr>
        <w:t xml:space="preserve">. </w:t>
      </w:r>
      <w:r w:rsidR="00B55855">
        <w:rPr>
          <w:rFonts w:ascii="Arial" w:hAnsi="Arial" w:cs="Arial"/>
          <w:sz w:val="18"/>
        </w:rPr>
        <w:t>Nivolumab for the treatment of a</w:t>
      </w:r>
      <w:r w:rsidRPr="00556691">
        <w:rPr>
          <w:rFonts w:ascii="Arial" w:hAnsi="Arial" w:cs="Arial"/>
          <w:sz w:val="18"/>
        </w:rPr>
        <w:t>djuvant</w:t>
      </w:r>
      <w:r w:rsidR="00B55855">
        <w:rPr>
          <w:rFonts w:ascii="Arial" w:hAnsi="Arial" w:cs="Arial"/>
          <w:sz w:val="18"/>
        </w:rPr>
        <w:t xml:space="preserve"> melanoma is currently under review at pCODR, and may become an available treatment option in the future. </w:t>
      </w:r>
      <w:r w:rsidRPr="00556691">
        <w:rPr>
          <w:rFonts w:ascii="Arial" w:hAnsi="Arial" w:cs="Arial"/>
          <w:sz w:val="18"/>
        </w:rPr>
        <w:t xml:space="preserve">In what clinical scenarios would nivolumab or dabrafenib trametinib be the preferred treatment for </w:t>
      </w:r>
      <w:r w:rsidR="00B55855">
        <w:rPr>
          <w:rFonts w:ascii="Arial" w:hAnsi="Arial" w:cs="Arial"/>
          <w:sz w:val="18"/>
        </w:rPr>
        <w:t xml:space="preserve">adjuvant melanoma </w:t>
      </w:r>
      <w:r w:rsidRPr="00556691">
        <w:rPr>
          <w:rFonts w:ascii="Arial" w:hAnsi="Arial" w:cs="Arial"/>
          <w:sz w:val="18"/>
        </w:rPr>
        <w:t>with a BRAF V600 mutation?</w:t>
      </w:r>
      <w:r w:rsidR="00101C0B" w:rsidRPr="00101C0B">
        <w:rPr>
          <w:rFonts w:ascii="Arial" w:hAnsi="Arial" w:cs="Arial"/>
          <w:sz w:val="18"/>
        </w:rPr>
        <w:t xml:space="preserve"> </w:t>
      </w:r>
      <w:r w:rsidR="00101C0B">
        <w:rPr>
          <w:rFonts w:ascii="Arial" w:hAnsi="Arial" w:cs="Arial"/>
          <w:sz w:val="18"/>
        </w:rPr>
        <w:t>Please comment on the preference considering patient preference, efficacy, safety, and administration.</w:t>
      </w:r>
    </w:p>
    <w:tbl>
      <w:tblPr>
        <w:tblStyle w:val="TableGrid"/>
        <w:tblW w:w="0" w:type="auto"/>
        <w:tblInd w:w="402"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56691" w14:paraId="7F7BA860" w14:textId="77777777" w:rsidTr="00565762">
        <w:trPr>
          <w:trHeight w:val="154"/>
        </w:trPr>
        <w:tc>
          <w:tcPr>
            <w:tcW w:w="10292" w:type="dxa"/>
          </w:tcPr>
          <w:p w14:paraId="3323CCFC" w14:textId="77777777" w:rsidR="00556691" w:rsidRDefault="00556691" w:rsidP="00565762">
            <w:pPr>
              <w:pStyle w:val="pCODR01AppendixHeader"/>
              <w:spacing w:before="0" w:after="0"/>
              <w:rPr>
                <w:rFonts w:ascii="Arial" w:hAnsi="Arial" w:cs="Arial"/>
                <w:spacing w:val="0"/>
              </w:rPr>
            </w:pPr>
          </w:p>
        </w:tc>
      </w:tr>
    </w:tbl>
    <w:p w14:paraId="6CA27E90" w14:textId="77777777" w:rsidR="00101C0B" w:rsidRDefault="00101C0B" w:rsidP="00565762">
      <w:pPr>
        <w:pStyle w:val="pCODR1Body"/>
        <w:spacing w:after="0"/>
        <w:ind w:left="360"/>
        <w:rPr>
          <w:rFonts w:ascii="Arial" w:hAnsi="Arial" w:cs="Arial"/>
          <w:b/>
          <w:sz w:val="18"/>
        </w:rPr>
      </w:pPr>
    </w:p>
    <w:p w14:paraId="29097737" w14:textId="77777777" w:rsidR="00565762" w:rsidRDefault="00565762" w:rsidP="00565762">
      <w:pPr>
        <w:pStyle w:val="pCODR1Body"/>
        <w:spacing w:after="0"/>
        <w:ind w:left="360"/>
        <w:rPr>
          <w:rFonts w:ascii="Arial" w:hAnsi="Arial" w:cs="Arial"/>
          <w:sz w:val="18"/>
        </w:rPr>
      </w:pPr>
      <w:r>
        <w:rPr>
          <w:rFonts w:ascii="Arial" w:hAnsi="Arial" w:cs="Arial"/>
          <w:b/>
          <w:sz w:val="18"/>
        </w:rPr>
        <w:t>4.4</w:t>
      </w:r>
      <w:r>
        <w:rPr>
          <w:rFonts w:ascii="Arial" w:hAnsi="Arial" w:cs="Arial"/>
          <w:sz w:val="18"/>
        </w:rPr>
        <w:t xml:space="preserve">. </w:t>
      </w:r>
      <w:r w:rsidRPr="00556691">
        <w:rPr>
          <w:rFonts w:ascii="Arial" w:hAnsi="Arial" w:cs="Arial"/>
          <w:sz w:val="18"/>
        </w:rPr>
        <w:t>For patients that test negative for BRAF in stage III or earlier disease, are there situations where the test would be repeated once the patient develops metastatic disease (e.g., does the mutation status evolve over the natural history of melanoma and thus repeated samples are warranted)?</w:t>
      </w:r>
    </w:p>
    <w:tbl>
      <w:tblPr>
        <w:tblStyle w:val="TableGrid"/>
        <w:tblW w:w="0" w:type="auto"/>
        <w:tblInd w:w="392"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65762" w14:paraId="50A091BE" w14:textId="77777777" w:rsidTr="00565762">
        <w:trPr>
          <w:trHeight w:val="154"/>
        </w:trPr>
        <w:tc>
          <w:tcPr>
            <w:tcW w:w="10292" w:type="dxa"/>
          </w:tcPr>
          <w:p w14:paraId="22F94A35" w14:textId="77777777" w:rsidR="00565762" w:rsidRDefault="00565762" w:rsidP="003C539C">
            <w:pPr>
              <w:pStyle w:val="pCODR01AppendixHeader"/>
              <w:spacing w:before="0" w:after="0"/>
              <w:rPr>
                <w:rFonts w:ascii="Arial" w:hAnsi="Arial" w:cs="Arial"/>
                <w:spacing w:val="0"/>
              </w:rPr>
            </w:pPr>
          </w:p>
        </w:tc>
      </w:tr>
    </w:tbl>
    <w:p w14:paraId="7C97D358" w14:textId="77777777" w:rsidR="00556691" w:rsidRDefault="00556691" w:rsidP="00565762">
      <w:pPr>
        <w:pStyle w:val="pCODR1Body"/>
        <w:spacing w:after="0"/>
        <w:rPr>
          <w:rFonts w:ascii="Arial" w:hAnsi="Arial" w:cs="Arial"/>
          <w:b/>
          <w:sz w:val="18"/>
        </w:rPr>
      </w:pPr>
    </w:p>
    <w:p w14:paraId="5C185926" w14:textId="77777777" w:rsidR="00101C0B" w:rsidRDefault="00101C0B">
      <w:pPr>
        <w:rPr>
          <w:rFonts w:ascii="Arial" w:eastAsia="Times New Roman" w:hAnsi="Arial" w:cs="Arial"/>
          <w:b/>
          <w:color w:val="0067B9"/>
          <w:sz w:val="24"/>
          <w:szCs w:val="28"/>
        </w:rPr>
      </w:pPr>
      <w:bookmarkStart w:id="9" w:name="_Toc439923603"/>
      <w:r>
        <w:rPr>
          <w:b/>
          <w:color w:val="0067B9"/>
          <w:sz w:val="24"/>
          <w:szCs w:val="28"/>
        </w:rPr>
        <w:br w:type="page"/>
      </w:r>
    </w:p>
    <w:p w14:paraId="179EB68B" w14:textId="30DE52B9"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1520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93CA3">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93CA3">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D0D4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93CA3">
                            <w:rPr>
                              <w:rFonts w:ascii="Arial" w:hAnsi="Arial" w:cs="Arial"/>
                              <w:noProof/>
                              <w:sz w:val="14"/>
                              <w:szCs w:val="14"/>
                            </w:rPr>
                            <w:t>1</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93CA3">
                      <w:rPr>
                        <w:rFonts w:ascii="Arial" w:hAnsi="Arial" w:cs="Arial"/>
                        <w:noProof/>
                        <w:sz w:val="14"/>
                        <w:szCs w:val="14"/>
                      </w:rPr>
                      <w:t>1</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6E6D03"/>
    <w:multiLevelType w:val="hybridMultilevel"/>
    <w:tmpl w:val="B6A6A6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BB32D63"/>
    <w:multiLevelType w:val="hybridMultilevel"/>
    <w:tmpl w:val="DD2A51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BCFA762C"/>
    <w:lvl w:ilvl="0" w:tplc="10090001">
      <w:start w:val="1"/>
      <w:numFmt w:val="bullet"/>
      <w:lvlText w:val=""/>
      <w:lvlJc w:val="left"/>
      <w:pPr>
        <w:ind w:left="425" w:hanging="360"/>
      </w:pPr>
      <w:rPr>
        <w:rFonts w:ascii="Symbol" w:hAnsi="Symbol" w:hint="default"/>
      </w:rPr>
    </w:lvl>
    <w:lvl w:ilvl="1" w:tplc="10090003">
      <w:start w:val="1"/>
      <w:numFmt w:val="bullet"/>
      <w:lvlText w:val="o"/>
      <w:lvlJc w:val="left"/>
      <w:pPr>
        <w:ind w:left="1145" w:hanging="360"/>
      </w:pPr>
      <w:rPr>
        <w:rFonts w:ascii="Courier New" w:hAnsi="Courier New" w:cs="Courier New" w:hint="default"/>
      </w:rPr>
    </w:lvl>
    <w:lvl w:ilvl="2" w:tplc="10090005">
      <w:start w:val="1"/>
      <w:numFmt w:val="bullet"/>
      <w:lvlText w:val=""/>
      <w:lvlJc w:val="left"/>
      <w:pPr>
        <w:ind w:left="1865" w:hanging="360"/>
      </w:pPr>
      <w:rPr>
        <w:rFonts w:ascii="Wingdings" w:hAnsi="Wingdings" w:hint="default"/>
      </w:rPr>
    </w:lvl>
    <w:lvl w:ilvl="3" w:tplc="10090001">
      <w:start w:val="1"/>
      <w:numFmt w:val="bullet"/>
      <w:lvlText w:val=""/>
      <w:lvlJc w:val="left"/>
      <w:pPr>
        <w:ind w:left="2585" w:hanging="360"/>
      </w:pPr>
      <w:rPr>
        <w:rFonts w:ascii="Symbol" w:hAnsi="Symbol" w:hint="default"/>
      </w:rPr>
    </w:lvl>
    <w:lvl w:ilvl="4" w:tplc="10090003" w:tentative="1">
      <w:start w:val="1"/>
      <w:numFmt w:val="bullet"/>
      <w:lvlText w:val="o"/>
      <w:lvlJc w:val="left"/>
      <w:pPr>
        <w:ind w:left="3305" w:hanging="360"/>
      </w:pPr>
      <w:rPr>
        <w:rFonts w:ascii="Courier New" w:hAnsi="Courier New" w:cs="Courier New" w:hint="default"/>
      </w:rPr>
    </w:lvl>
    <w:lvl w:ilvl="5" w:tplc="10090005" w:tentative="1">
      <w:start w:val="1"/>
      <w:numFmt w:val="bullet"/>
      <w:lvlText w:val=""/>
      <w:lvlJc w:val="left"/>
      <w:pPr>
        <w:ind w:left="4025" w:hanging="360"/>
      </w:pPr>
      <w:rPr>
        <w:rFonts w:ascii="Wingdings" w:hAnsi="Wingdings" w:hint="default"/>
      </w:rPr>
    </w:lvl>
    <w:lvl w:ilvl="6" w:tplc="10090001" w:tentative="1">
      <w:start w:val="1"/>
      <w:numFmt w:val="bullet"/>
      <w:lvlText w:val=""/>
      <w:lvlJc w:val="left"/>
      <w:pPr>
        <w:ind w:left="4745" w:hanging="360"/>
      </w:pPr>
      <w:rPr>
        <w:rFonts w:ascii="Symbol" w:hAnsi="Symbol" w:hint="default"/>
      </w:rPr>
    </w:lvl>
    <w:lvl w:ilvl="7" w:tplc="10090003" w:tentative="1">
      <w:start w:val="1"/>
      <w:numFmt w:val="bullet"/>
      <w:lvlText w:val="o"/>
      <w:lvlJc w:val="left"/>
      <w:pPr>
        <w:ind w:left="5465" w:hanging="360"/>
      </w:pPr>
      <w:rPr>
        <w:rFonts w:ascii="Courier New" w:hAnsi="Courier New" w:cs="Courier New" w:hint="default"/>
      </w:rPr>
    </w:lvl>
    <w:lvl w:ilvl="8" w:tplc="10090005" w:tentative="1">
      <w:start w:val="1"/>
      <w:numFmt w:val="bullet"/>
      <w:lvlText w:val=""/>
      <w:lvlJc w:val="left"/>
      <w:pPr>
        <w:ind w:left="6185" w:hanging="360"/>
      </w:pPr>
      <w:rPr>
        <w:rFonts w:ascii="Wingdings" w:hAnsi="Wingdings" w:hint="default"/>
      </w:rPr>
    </w:lvl>
  </w:abstractNum>
  <w:abstractNum w:abstractNumId="43"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5"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6"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8"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43"/>
  </w:num>
  <w:num w:numId="16">
    <w:abstractNumId w:val="28"/>
  </w:num>
  <w:num w:numId="17">
    <w:abstractNumId w:val="32"/>
  </w:num>
  <w:num w:numId="18">
    <w:abstractNumId w:val="48"/>
  </w:num>
  <w:num w:numId="19">
    <w:abstractNumId w:val="30"/>
  </w:num>
  <w:num w:numId="20">
    <w:abstractNumId w:val="11"/>
  </w:num>
  <w:num w:numId="21">
    <w:abstractNumId w:val="9"/>
  </w:num>
  <w:num w:numId="22">
    <w:abstractNumId w:val="29"/>
  </w:num>
  <w:num w:numId="23">
    <w:abstractNumId w:val="46"/>
  </w:num>
  <w:num w:numId="24">
    <w:abstractNumId w:val="16"/>
  </w:num>
  <w:num w:numId="25">
    <w:abstractNumId w:val="27"/>
  </w:num>
  <w:num w:numId="26">
    <w:abstractNumId w:val="37"/>
  </w:num>
  <w:num w:numId="27">
    <w:abstractNumId w:val="20"/>
  </w:num>
  <w:num w:numId="28">
    <w:abstractNumId w:val="26"/>
  </w:num>
  <w:num w:numId="29">
    <w:abstractNumId w:val="18"/>
  </w:num>
  <w:num w:numId="30">
    <w:abstractNumId w:val="44"/>
  </w:num>
  <w:num w:numId="31">
    <w:abstractNumId w:val="39"/>
  </w:num>
  <w:num w:numId="32">
    <w:abstractNumId w:val="47"/>
    <w:lvlOverride w:ilvl="0">
      <w:startOverride w:val="1"/>
    </w:lvlOverride>
  </w:num>
  <w:num w:numId="33">
    <w:abstractNumId w:val="36"/>
    <w:lvlOverride w:ilvl="0">
      <w:startOverride w:val="1"/>
    </w:lvlOverride>
  </w:num>
  <w:num w:numId="34">
    <w:abstractNumId w:val="38"/>
  </w:num>
  <w:num w:numId="35">
    <w:abstractNumId w:val="25"/>
  </w:num>
  <w:num w:numId="36">
    <w:abstractNumId w:val="23"/>
  </w:num>
  <w:num w:numId="37">
    <w:abstractNumId w:val="22"/>
  </w:num>
  <w:num w:numId="38">
    <w:abstractNumId w:val="12"/>
  </w:num>
  <w:num w:numId="39">
    <w:abstractNumId w:val="45"/>
  </w:num>
  <w:num w:numId="40">
    <w:abstractNumId w:val="17"/>
  </w:num>
  <w:num w:numId="41">
    <w:abstractNumId w:val="40"/>
  </w:num>
  <w:num w:numId="42">
    <w:abstractNumId w:val="19"/>
  </w:num>
  <w:num w:numId="43">
    <w:abstractNumId w:val="35"/>
  </w:num>
  <w:num w:numId="44">
    <w:abstractNumId w:val="42"/>
  </w:num>
  <w:num w:numId="45">
    <w:abstractNumId w:val="21"/>
  </w:num>
  <w:num w:numId="46">
    <w:abstractNumId w:val="13"/>
  </w:num>
  <w:num w:numId="47">
    <w:abstractNumId w:val="33"/>
  </w:num>
  <w:num w:numId="48">
    <w:abstractNumId w:val="24"/>
  </w:num>
  <w:num w:numId="49">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1C0B"/>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1E3F"/>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6691"/>
    <w:rsid w:val="00557689"/>
    <w:rsid w:val="005607E4"/>
    <w:rsid w:val="00562E8A"/>
    <w:rsid w:val="00565762"/>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3CA3"/>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9F5990"/>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585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4881">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778840790">
      <w:bodyDiv w:val="1"/>
      <w:marLeft w:val="0"/>
      <w:marRight w:val="0"/>
      <w:marTop w:val="0"/>
      <w:marBottom w:val="0"/>
      <w:divBdr>
        <w:top w:val="none" w:sz="0" w:space="0" w:color="auto"/>
        <w:left w:val="none" w:sz="0" w:space="0" w:color="auto"/>
        <w:bottom w:val="none" w:sz="0" w:space="0" w:color="auto"/>
        <w:right w:val="none" w:sz="0" w:space="0" w:color="auto"/>
      </w:divBdr>
    </w:div>
    <w:div w:id="957296504">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patients/guidelines/melano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ma.europa.eu/ema/index.jsp?curl=pages/medicines/human/medicines/002643/smops/Positive/human_smop_001332.jsp&amp;mid=WC0b01ac058001d127" TargetMode="External"/><Relationship Id="rId2" Type="http://schemas.openxmlformats.org/officeDocument/2006/relationships/numbering" Target="numbering.xml"/><Relationship Id="rId16" Type="http://schemas.openxmlformats.org/officeDocument/2006/relationships/hyperlink" Target="https://www.fda.gov/Drugs/InformationOnDrugs/ApprovedDrugs/ucm60616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pdf/10.1056/NEJMoa1708539" TargetMode="Externa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www.esmo.org/Guidelines/Melanoma/Cutaneous-Melanoma/eUpdate-Algorithms"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6820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E6C9-A5E3-459C-9E8D-E8FEAA66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2018-08-22T19:37:00Z</dcterms:modified>
</cp:coreProperties>
</file>