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8AD4E22" w:rsidR="00121EB1" w:rsidRPr="00EB0EEF" w:rsidRDefault="00D96E1D" w:rsidP="00EB0EEF">
            <w:pPr>
              <w:pStyle w:val="DocumentTitle"/>
              <w:tabs>
                <w:tab w:val="left" w:pos="1074"/>
              </w:tabs>
              <w:spacing w:before="0" w:after="0"/>
              <w:rPr>
                <w:sz w:val="18"/>
                <w:szCs w:val="20"/>
              </w:rPr>
            </w:pPr>
            <w:r>
              <w:rPr>
                <w:sz w:val="18"/>
                <w:szCs w:val="20"/>
              </w:rPr>
              <w:t>pCODR 10153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7A5A2BF" w:rsidR="00F369F8" w:rsidRPr="00EB0EEF" w:rsidRDefault="00D96E1D" w:rsidP="00EB0EEF">
            <w:pPr>
              <w:pStyle w:val="DocumentTitle"/>
              <w:tabs>
                <w:tab w:val="left" w:pos="1074"/>
              </w:tabs>
              <w:spacing w:before="0" w:after="0"/>
              <w:rPr>
                <w:sz w:val="18"/>
                <w:szCs w:val="20"/>
              </w:rPr>
            </w:pPr>
            <w:r>
              <w:rPr>
                <w:sz w:val="18"/>
                <w:szCs w:val="20"/>
              </w:rPr>
              <w:t>P</w:t>
            </w:r>
            <w:r w:rsidRPr="00D96E1D">
              <w:rPr>
                <w:sz w:val="18"/>
                <w:szCs w:val="20"/>
              </w:rPr>
              <w:t>embrolizumab</w:t>
            </w:r>
            <w:r>
              <w:rPr>
                <w:sz w:val="18"/>
                <w:szCs w:val="20"/>
              </w:rPr>
              <w:t xml:space="preserve"> (Keytruda)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1692C63" w:rsidR="00F369F8" w:rsidRPr="00EB0EEF" w:rsidRDefault="00D96E1D" w:rsidP="00EB0EEF">
            <w:pPr>
              <w:pStyle w:val="DocumentTitle"/>
              <w:tabs>
                <w:tab w:val="left" w:pos="1074"/>
              </w:tabs>
              <w:spacing w:before="0" w:after="0"/>
              <w:rPr>
                <w:sz w:val="18"/>
                <w:szCs w:val="20"/>
              </w:rPr>
            </w:pPr>
            <w:r w:rsidRPr="00D96E1D">
              <w:rPr>
                <w:sz w:val="18"/>
                <w:szCs w:val="20"/>
              </w:rPr>
              <w:t>Advanced Non-Squamous Non Small Cell Lung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5A01245" w:rsidR="00F369F8" w:rsidRPr="00EB0EEF" w:rsidRDefault="00D96E1D" w:rsidP="00EB0EEF">
            <w:pPr>
              <w:pStyle w:val="DocumentTitle"/>
              <w:tabs>
                <w:tab w:val="left" w:pos="1074"/>
              </w:tabs>
              <w:spacing w:before="0" w:after="0"/>
              <w:rPr>
                <w:sz w:val="18"/>
                <w:szCs w:val="20"/>
              </w:rPr>
            </w:pPr>
            <w:r>
              <w:rPr>
                <w:sz w:val="18"/>
                <w:szCs w:val="20"/>
              </w:rPr>
              <w:t>I</w:t>
            </w:r>
            <w:r w:rsidRPr="00D96E1D">
              <w:rPr>
                <w:sz w:val="18"/>
                <w:szCs w:val="20"/>
              </w:rPr>
              <w:t>n combination with pemetrexed and platinum chemotherapy, for the treatment of metastatic non-squamous NSCLC, in adults with no EGFR or ALK genomic tumor aberrations, and no prior systemic chemotherapy treatment for metastatic NSCLC.</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D50281D" w14:textId="67B06B97" w:rsidR="004A4EF1" w:rsidRPr="004A4EF1" w:rsidRDefault="00D96E1D" w:rsidP="004A4EF1">
            <w:pPr>
              <w:pStyle w:val="DocumentTitle"/>
              <w:numPr>
                <w:ilvl w:val="0"/>
                <w:numId w:val="44"/>
              </w:numPr>
              <w:tabs>
                <w:tab w:val="left" w:pos="1074"/>
              </w:tabs>
              <w:spacing w:before="0" w:after="0"/>
              <w:ind w:left="245" w:hanging="180"/>
              <w:rPr>
                <w:sz w:val="18"/>
                <w:szCs w:val="20"/>
              </w:rPr>
            </w:pPr>
            <w:r w:rsidRPr="004A4EF1">
              <w:rPr>
                <w:sz w:val="18"/>
                <w:szCs w:val="20"/>
              </w:rPr>
              <w:t>KEYNOTE-189</w:t>
            </w:r>
            <w:r w:rsidR="004A4EF1">
              <w:rPr>
                <w:sz w:val="18"/>
                <w:szCs w:val="20"/>
              </w:rPr>
              <w:t xml:space="preserve"> (</w:t>
            </w:r>
            <w:hyperlink r:id="rId14" w:history="1">
              <w:r w:rsidR="004A4EF1" w:rsidRPr="004A4EF1">
                <w:rPr>
                  <w:rStyle w:val="Hyperlink"/>
                  <w:sz w:val="18"/>
                  <w:szCs w:val="20"/>
                </w:rPr>
                <w:t>NCT02578680</w:t>
              </w:r>
            </w:hyperlink>
            <w:r w:rsidR="004A4EF1">
              <w:rPr>
                <w:sz w:val="18"/>
                <w:szCs w:val="20"/>
              </w:rPr>
              <w:t>)</w:t>
            </w:r>
          </w:p>
          <w:p w14:paraId="52AF8FBD" w14:textId="5DDDEBF5" w:rsidR="00CC380E" w:rsidRPr="004A4EF1" w:rsidRDefault="00AC6B9C" w:rsidP="004A4EF1">
            <w:pPr>
              <w:pStyle w:val="DocumentTitle"/>
              <w:numPr>
                <w:ilvl w:val="0"/>
                <w:numId w:val="44"/>
              </w:numPr>
              <w:tabs>
                <w:tab w:val="left" w:pos="1074"/>
              </w:tabs>
              <w:spacing w:before="0" w:after="0"/>
              <w:ind w:left="245" w:hanging="180"/>
              <w:rPr>
                <w:sz w:val="18"/>
                <w:szCs w:val="20"/>
              </w:rPr>
            </w:pPr>
            <w:hyperlink r:id="rId15" w:history="1">
              <w:r w:rsidR="004A4EF1" w:rsidRPr="004A4EF1">
                <w:rPr>
                  <w:rStyle w:val="Hyperlink"/>
                  <w:sz w:val="18"/>
                  <w:szCs w:val="20"/>
                </w:rPr>
                <w:t>Gandhi et al, N Engl J Med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08093B77"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C573E6D" w:rsidR="00275E1C" w:rsidRPr="00EB0EEF" w:rsidRDefault="004A4EF1" w:rsidP="00D96E1D">
            <w:pPr>
              <w:pStyle w:val="DocumentTitle"/>
              <w:tabs>
                <w:tab w:val="left" w:pos="1074"/>
              </w:tabs>
              <w:spacing w:before="0" w:after="0"/>
              <w:rPr>
                <w:color w:val="C00000"/>
                <w:sz w:val="18"/>
                <w:szCs w:val="20"/>
              </w:rPr>
            </w:pPr>
            <w:r>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039F144E" w14:textId="77777777" w:rsidR="00275E1C" w:rsidRDefault="004A4EF1" w:rsidP="004A4EF1">
            <w:pPr>
              <w:pStyle w:val="DocumentTitle"/>
              <w:tabs>
                <w:tab w:val="left" w:pos="1074"/>
              </w:tabs>
              <w:spacing w:before="0" w:after="0"/>
              <w:rPr>
                <w:sz w:val="18"/>
                <w:szCs w:val="20"/>
              </w:rPr>
            </w:pPr>
            <w:r w:rsidRPr="004A4EF1">
              <w:rPr>
                <w:sz w:val="18"/>
                <w:szCs w:val="20"/>
              </w:rPr>
              <w:t>May 10, 2017</w:t>
            </w:r>
          </w:p>
          <w:p w14:paraId="08DAB72D" w14:textId="77777777" w:rsidR="004A4EF1" w:rsidRDefault="004A4EF1" w:rsidP="004A4EF1">
            <w:pPr>
              <w:pStyle w:val="DocumentTitle"/>
              <w:tabs>
                <w:tab w:val="left" w:pos="1074"/>
              </w:tabs>
              <w:spacing w:before="0" w:after="0"/>
              <w:rPr>
                <w:sz w:val="18"/>
                <w:szCs w:val="20"/>
              </w:rPr>
            </w:pPr>
          </w:p>
          <w:p w14:paraId="2EE07483" w14:textId="41335A3A" w:rsidR="004A4EF1" w:rsidRPr="004A4EF1" w:rsidRDefault="00AC6B9C" w:rsidP="004A4EF1">
            <w:pPr>
              <w:pStyle w:val="DocumentTitle"/>
              <w:tabs>
                <w:tab w:val="left" w:pos="1074"/>
              </w:tabs>
              <w:spacing w:before="0" w:after="0"/>
              <w:rPr>
                <w:sz w:val="18"/>
                <w:szCs w:val="20"/>
              </w:rPr>
            </w:pPr>
            <w:hyperlink r:id="rId16" w:history="1">
              <w:r w:rsidR="004A4EF1" w:rsidRPr="004A4EF1">
                <w:rPr>
                  <w:rStyle w:val="Hyperlink"/>
                  <w:sz w:val="18"/>
                  <w:szCs w:val="20"/>
                </w:rPr>
                <w:t>in combination with pemetrexed and carboplatin for the treatment of patients with previously untreated metastatic non-squamous non-small cell lung cancer (NSCLC)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8E76A05" w:rsidR="00F369F8" w:rsidRPr="00EB0EEF" w:rsidRDefault="004A4EF1" w:rsidP="00EB0EEF">
            <w:pPr>
              <w:pStyle w:val="DocumentTitle"/>
              <w:tabs>
                <w:tab w:val="left" w:pos="1074"/>
              </w:tabs>
              <w:spacing w:before="0" w:after="0"/>
              <w:rPr>
                <w:color w:val="C00000"/>
                <w:sz w:val="18"/>
                <w:szCs w:val="20"/>
              </w:rPr>
            </w:pPr>
            <w:r w:rsidRPr="004A4EF1">
              <w:rPr>
                <w:sz w:val="18"/>
                <w:szCs w:val="20"/>
              </w:rPr>
              <w:t>Pending</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46837863" w14:textId="77777777" w:rsidR="004A4EF1" w:rsidRPr="004A4EF1" w:rsidRDefault="004A4EF1" w:rsidP="004A4EF1">
            <w:pPr>
              <w:pStyle w:val="DocumentTitle"/>
              <w:tabs>
                <w:tab w:val="left" w:pos="1074"/>
              </w:tabs>
              <w:spacing w:before="120"/>
              <w:rPr>
                <w:sz w:val="18"/>
                <w:szCs w:val="20"/>
              </w:rPr>
            </w:pPr>
            <w:r w:rsidRPr="004A4EF1">
              <w:rPr>
                <w:sz w:val="18"/>
                <w:szCs w:val="20"/>
              </w:rPr>
              <w:t xml:space="preserve">Early and locally advanced non-small-cell lung cancer (NSCLC): ESMO Clinical Practice Guidelines for diagnosis, treatment and follow-up. </w:t>
            </w:r>
            <w:hyperlink r:id="rId17" w:history="1">
              <w:r w:rsidRPr="004A4EF1">
                <w:rPr>
                  <w:rStyle w:val="Hyperlink"/>
                  <w:sz w:val="18"/>
                  <w:szCs w:val="20"/>
                </w:rPr>
                <w:t>Annals of Oncology 28 (Supplement 4): iv1–iv21, 2017</w:t>
              </w:r>
            </w:hyperlink>
            <w:r w:rsidRPr="004A4EF1">
              <w:rPr>
                <w:sz w:val="18"/>
                <w:szCs w:val="20"/>
              </w:rPr>
              <w:t>.</w:t>
            </w:r>
          </w:p>
          <w:p w14:paraId="17E99E46" w14:textId="3CAE3C91" w:rsidR="004A4EF1" w:rsidRPr="00EB0EEF" w:rsidRDefault="004A4EF1" w:rsidP="004A4EF1">
            <w:pPr>
              <w:pStyle w:val="DocumentTitle"/>
              <w:tabs>
                <w:tab w:val="left" w:pos="1074"/>
              </w:tabs>
              <w:spacing w:before="0" w:after="0"/>
              <w:rPr>
                <w:color w:val="C00000"/>
                <w:sz w:val="18"/>
                <w:szCs w:val="20"/>
              </w:rPr>
            </w:pPr>
            <w:r w:rsidRPr="004A4EF1">
              <w:rPr>
                <w:sz w:val="18"/>
                <w:szCs w:val="20"/>
              </w:rPr>
              <w:t xml:space="preserve">Non–Small Cell Lung Cancer, Version 5.2017, NCCN Clinical Practice Guidelines in Oncology. </w:t>
            </w:r>
            <w:hyperlink r:id="rId18" w:history="1">
              <w:r w:rsidRPr="004A4EF1">
                <w:rPr>
                  <w:rStyle w:val="Hyperlink"/>
                  <w:sz w:val="18"/>
                  <w:szCs w:val="20"/>
                </w:rPr>
                <w:t>J Natl Compr Canc Netw 2017;15:504-535</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6F23BFBC" w14:textId="77777777" w:rsidR="00992FF5" w:rsidRDefault="00992FF5" w:rsidP="00992FF5">
            <w:pPr>
              <w:pStyle w:val="DocumentTitle"/>
              <w:tabs>
                <w:tab w:val="left" w:pos="1074"/>
              </w:tabs>
              <w:spacing w:before="0" w:after="0"/>
              <w:rPr>
                <w:sz w:val="18"/>
                <w:szCs w:val="20"/>
              </w:rPr>
            </w:pPr>
            <w:r w:rsidRPr="00992FF5">
              <w:rPr>
                <w:sz w:val="18"/>
                <w:szCs w:val="20"/>
              </w:rPr>
              <w:t xml:space="preserve">Platinum doublet therapies and single agent pembrolizumab (for patients with PD-L1 ≥50%) are standard of care for first-line treatment of advanced NSCLC. Pemetrexed in combination with platinum would be specific for non-squamous histology. For patients not eligible for platinum-based therapies, they may receive single agent pemetrexed. </w:t>
            </w:r>
          </w:p>
          <w:p w14:paraId="38EE2A15" w14:textId="77777777" w:rsidR="00992FF5" w:rsidRDefault="00992FF5" w:rsidP="00992FF5">
            <w:pPr>
              <w:pStyle w:val="DocumentTitle"/>
              <w:tabs>
                <w:tab w:val="left" w:pos="1074"/>
              </w:tabs>
              <w:spacing w:before="0" w:after="0"/>
              <w:rPr>
                <w:sz w:val="18"/>
                <w:szCs w:val="20"/>
              </w:rPr>
            </w:pPr>
          </w:p>
          <w:p w14:paraId="09ECBE82" w14:textId="2A1C356A" w:rsidR="00420EEA" w:rsidRPr="00992FF5" w:rsidRDefault="00992FF5" w:rsidP="007236E8">
            <w:pPr>
              <w:pStyle w:val="DocumentTitle"/>
              <w:tabs>
                <w:tab w:val="left" w:pos="1074"/>
              </w:tabs>
              <w:spacing w:before="0" w:after="0"/>
              <w:rPr>
                <w:sz w:val="18"/>
                <w:szCs w:val="20"/>
              </w:rPr>
            </w:pPr>
            <w:r w:rsidRPr="00992FF5">
              <w:rPr>
                <w:sz w:val="18"/>
                <w:szCs w:val="20"/>
              </w:rPr>
              <w:t>See Ap</w:t>
            </w:r>
            <w:r>
              <w:rPr>
                <w:sz w:val="18"/>
                <w:szCs w:val="20"/>
              </w:rPr>
              <w:t>pendix B – Provincial Funding of Treatment for Metastatic NSCLC</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AC6B9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DE78208" w14:textId="77777777" w:rsidR="00AC6B9C" w:rsidRDefault="00AC6B9C" w:rsidP="00AC6B9C">
      <w:pPr>
        <w:pStyle w:val="pCODR1Body"/>
        <w:spacing w:after="0"/>
        <w:ind w:left="426"/>
        <w:rPr>
          <w:rFonts w:ascii="Arial" w:hAnsi="Arial" w:cs="Arial"/>
          <w:sz w:val="18"/>
        </w:rPr>
      </w:pPr>
      <w:r>
        <w:rPr>
          <w:rFonts w:ascii="Arial" w:hAnsi="Arial" w:cs="Arial"/>
          <w:b/>
          <w:sz w:val="18"/>
        </w:rPr>
        <w:t xml:space="preserve">4.1. </w:t>
      </w:r>
      <w:r w:rsidRPr="00256EE7">
        <w:rPr>
          <w:rFonts w:ascii="Arial" w:hAnsi="Arial" w:cs="Arial"/>
          <w:sz w:val="18"/>
        </w:rPr>
        <w:t>For patients with PD-L1 ≥50%, is there a preference to provide these patients with single agent pembrolizumab or the combination of pembrolizumab with pemet</w:t>
      </w:r>
      <w:r>
        <w:rPr>
          <w:rFonts w:ascii="Arial" w:hAnsi="Arial" w:cs="Arial"/>
          <w:sz w:val="18"/>
        </w:rPr>
        <w:t>rexed and platinum chemotherapy?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AC6B9C" w14:paraId="279BB2A4" w14:textId="77777777" w:rsidTr="00902D49">
        <w:trPr>
          <w:trHeight w:val="1024"/>
        </w:trPr>
        <w:tc>
          <w:tcPr>
            <w:tcW w:w="10292" w:type="dxa"/>
          </w:tcPr>
          <w:p w14:paraId="753FB1FA" w14:textId="77777777" w:rsidR="00AC6B9C" w:rsidRDefault="00AC6B9C" w:rsidP="00902D49">
            <w:pPr>
              <w:pStyle w:val="pCODR01AppendixHeader"/>
              <w:rPr>
                <w:rFonts w:ascii="Arial" w:hAnsi="Arial" w:cs="Arial"/>
                <w:spacing w:val="0"/>
              </w:rPr>
            </w:pPr>
          </w:p>
        </w:tc>
      </w:tr>
    </w:tbl>
    <w:p w14:paraId="7472F328" w14:textId="77777777" w:rsidR="00AC6B9C" w:rsidRDefault="00AC6B9C" w:rsidP="00AC6B9C">
      <w:pPr>
        <w:pStyle w:val="pCODR1Body"/>
        <w:spacing w:after="0"/>
        <w:rPr>
          <w:rFonts w:ascii="Arial" w:hAnsi="Arial" w:cs="Arial"/>
          <w:sz w:val="18"/>
        </w:rPr>
      </w:pPr>
    </w:p>
    <w:p w14:paraId="1A75B729" w14:textId="27F49AE8" w:rsidR="00AC6B9C" w:rsidRDefault="00AC6B9C" w:rsidP="00AC6B9C">
      <w:pPr>
        <w:pStyle w:val="pCODR1Body"/>
        <w:spacing w:after="0"/>
        <w:rPr>
          <w:rFonts w:ascii="Arial" w:hAnsi="Arial" w:cs="Arial"/>
          <w:b/>
          <w:sz w:val="18"/>
        </w:rPr>
      </w:pPr>
    </w:p>
    <w:p w14:paraId="455639E1" w14:textId="17F74E99" w:rsidR="00AC6B9C" w:rsidRDefault="00AC6B9C" w:rsidP="00AC6B9C">
      <w:pPr>
        <w:pStyle w:val="pCODR1Body"/>
        <w:spacing w:after="0"/>
        <w:ind w:left="426"/>
        <w:rPr>
          <w:rFonts w:ascii="Arial" w:hAnsi="Arial" w:cs="Arial"/>
          <w:sz w:val="18"/>
        </w:rPr>
      </w:pPr>
      <w:r>
        <w:rPr>
          <w:rFonts w:ascii="Arial" w:hAnsi="Arial" w:cs="Arial"/>
          <w:b/>
          <w:sz w:val="18"/>
        </w:rPr>
        <w:t>4.2</w:t>
      </w:r>
      <w:r w:rsidRPr="00AC6B9C">
        <w:rPr>
          <w:rFonts w:ascii="Arial" w:hAnsi="Arial" w:cs="Arial"/>
          <w:sz w:val="18"/>
        </w:rPr>
        <w:t xml:space="preserve"> </w:t>
      </w:r>
      <w:r w:rsidRPr="00256EE7">
        <w:rPr>
          <w:rFonts w:ascii="Arial" w:hAnsi="Arial" w:cs="Arial"/>
          <w:sz w:val="18"/>
        </w:rPr>
        <w:t xml:space="preserve">For patients currently on first-line </w:t>
      </w:r>
      <w:r>
        <w:rPr>
          <w:rFonts w:ascii="Arial" w:hAnsi="Arial" w:cs="Arial"/>
          <w:sz w:val="18"/>
        </w:rPr>
        <w:t xml:space="preserve">single-agent </w:t>
      </w:r>
      <w:r w:rsidRPr="00256EE7">
        <w:rPr>
          <w:rFonts w:ascii="Arial" w:hAnsi="Arial" w:cs="Arial"/>
          <w:sz w:val="18"/>
        </w:rPr>
        <w:t>pembrolizumab, should pemetrexed be added to their treatment? If so, at what point in their treatment? For patients currently on first-line pemetrexed, should pembrolizumab be added to their treatment? If so, at what point in their treatment?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AC6B9C" w14:paraId="67CB975E" w14:textId="77777777" w:rsidTr="00902D49">
        <w:trPr>
          <w:trHeight w:val="1024"/>
        </w:trPr>
        <w:tc>
          <w:tcPr>
            <w:tcW w:w="10292" w:type="dxa"/>
          </w:tcPr>
          <w:p w14:paraId="1A98824E" w14:textId="77777777" w:rsidR="00AC6B9C" w:rsidRDefault="00AC6B9C" w:rsidP="00902D49">
            <w:pPr>
              <w:pStyle w:val="pCODR01AppendixHeader"/>
              <w:rPr>
                <w:rFonts w:ascii="Arial" w:hAnsi="Arial" w:cs="Arial"/>
                <w:spacing w:val="0"/>
              </w:rPr>
            </w:pPr>
          </w:p>
        </w:tc>
      </w:tr>
    </w:tbl>
    <w:p w14:paraId="1B90BC67" w14:textId="77777777" w:rsidR="00AC6B9C" w:rsidRDefault="00AC6B9C" w:rsidP="00AC6B9C">
      <w:pPr>
        <w:pStyle w:val="pCODR1Body"/>
        <w:spacing w:after="0"/>
        <w:ind w:left="426"/>
        <w:rPr>
          <w:rFonts w:ascii="Arial" w:hAnsi="Arial" w:cs="Arial"/>
          <w:sz w:val="18"/>
        </w:rPr>
      </w:pPr>
    </w:p>
    <w:p w14:paraId="77AD3119" w14:textId="77777777" w:rsidR="00AC6B9C" w:rsidRDefault="00AC6B9C" w:rsidP="00256EE7">
      <w:pPr>
        <w:pStyle w:val="pCODR1Body"/>
        <w:spacing w:after="0"/>
        <w:ind w:left="360"/>
        <w:rPr>
          <w:rFonts w:ascii="Arial" w:hAnsi="Arial" w:cs="Arial"/>
          <w:b/>
          <w:sz w:val="18"/>
        </w:rPr>
      </w:pPr>
    </w:p>
    <w:p w14:paraId="6213CFAD" w14:textId="7012A6DA" w:rsidR="00256EE7" w:rsidRPr="00256EE7" w:rsidRDefault="00AC6B9C" w:rsidP="00AC6B9C">
      <w:pPr>
        <w:pStyle w:val="pCODR1Body"/>
        <w:spacing w:after="0"/>
        <w:ind w:left="426"/>
        <w:rPr>
          <w:rFonts w:ascii="Arial" w:hAnsi="Arial" w:cs="Arial"/>
          <w:sz w:val="18"/>
        </w:rPr>
      </w:pPr>
      <w:r>
        <w:rPr>
          <w:rFonts w:ascii="Arial" w:hAnsi="Arial" w:cs="Arial"/>
          <w:b/>
          <w:sz w:val="18"/>
        </w:rPr>
        <w:lastRenderedPageBreak/>
        <w:t xml:space="preserve">4.3 </w:t>
      </w:r>
      <w:r w:rsidRPr="00256EE7">
        <w:rPr>
          <w:rFonts w:ascii="Arial" w:hAnsi="Arial" w:cs="Arial"/>
          <w:sz w:val="18"/>
        </w:rPr>
        <w:t>Would you use pembrolizumab</w:t>
      </w:r>
      <w:r>
        <w:rPr>
          <w:rFonts w:ascii="Arial" w:hAnsi="Arial" w:cs="Arial"/>
          <w:sz w:val="18"/>
        </w:rPr>
        <w:t xml:space="preserve"> in this setting</w:t>
      </w:r>
      <w:r w:rsidRPr="00256EE7">
        <w:rPr>
          <w:rFonts w:ascii="Arial" w:hAnsi="Arial" w:cs="Arial"/>
          <w:sz w:val="18"/>
        </w:rPr>
        <w:t xml:space="preserve"> for treating metastatic disease after progression on durvalumab? If yes, what would be the appropriate time frame between treatments?</w:t>
      </w:r>
      <w:r w:rsidRPr="00256EE7">
        <w:rPr>
          <w:rFonts w:ascii="Arial" w:hAnsi="Arial" w:cs="Arial"/>
          <w:sz w:val="18"/>
        </w:rPr>
        <w:tab/>
      </w:r>
      <w:bookmarkStart w:id="8" w:name="_GoBack"/>
      <w:bookmarkEnd w:id="8"/>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0028EA" w14:paraId="5247003C" w14:textId="77777777" w:rsidTr="00256EE7">
        <w:trPr>
          <w:trHeight w:val="1024"/>
        </w:trPr>
        <w:tc>
          <w:tcPr>
            <w:tcW w:w="10292" w:type="dxa"/>
          </w:tcPr>
          <w:p w14:paraId="263B76BD" w14:textId="77777777" w:rsidR="000028EA" w:rsidRDefault="000028EA" w:rsidP="00FB5292">
            <w:pPr>
              <w:pStyle w:val="pCODR01AppendixHeader"/>
              <w:rPr>
                <w:rFonts w:ascii="Arial" w:hAnsi="Arial" w:cs="Arial"/>
                <w:spacing w:val="0"/>
              </w:rPr>
            </w:pPr>
            <w:bookmarkStart w:id="9" w:name="_Appendix_A:_pCODR"/>
            <w:bookmarkStart w:id="10" w:name="_Toc439923603"/>
            <w:bookmarkEnd w:id="9"/>
          </w:p>
        </w:tc>
      </w:tr>
    </w:tbl>
    <w:p w14:paraId="0AE0D783" w14:textId="77777777" w:rsidR="00D8302B" w:rsidRPr="00EB0EEF" w:rsidRDefault="00D8302B" w:rsidP="00FB5292">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4F97C757" w:rsidR="00992FF5" w:rsidRDefault="00992FF5">
      <w:pPr>
        <w:rPr>
          <w:rFonts w:ascii="Arial" w:hAnsi="Arial" w:cs="Arial"/>
          <w:sz w:val="18"/>
          <w:szCs w:val="18"/>
        </w:rPr>
      </w:pPr>
      <w:r>
        <w:rPr>
          <w:rFonts w:ascii="Arial" w:hAnsi="Arial" w:cs="Arial"/>
          <w:sz w:val="18"/>
          <w:szCs w:val="18"/>
        </w:rPr>
        <w:br w:type="page"/>
      </w:r>
    </w:p>
    <w:p w14:paraId="53E293D4" w14:textId="77777777" w:rsidR="00992FF5" w:rsidRDefault="00992FF5" w:rsidP="00992FF5">
      <w:pPr>
        <w:pStyle w:val="pCODR01AppendixHeader"/>
      </w:pPr>
      <w:r w:rsidRPr="00FB5292">
        <w:lastRenderedPageBreak/>
        <w:t>Appendix</w:t>
      </w:r>
      <w:r w:rsidRPr="00F90A13">
        <w:t xml:space="preserve"> B</w:t>
      </w:r>
      <w:r w:rsidRPr="00FB5292">
        <w:t xml:space="preserve">: </w:t>
      </w:r>
      <w:r>
        <w:t xml:space="preserve">Provincial Funding of </w:t>
      </w:r>
      <w:r w:rsidRPr="00F90A13">
        <w:t>Treatments for Metastatic NSCLC</w:t>
      </w:r>
    </w:p>
    <w:p w14:paraId="364E2181" w14:textId="5AFBD1FB" w:rsidR="00992FF5" w:rsidRDefault="00992FF5" w:rsidP="00992FF5">
      <w:pPr>
        <w:pStyle w:val="pCODR01AppendixHeader"/>
        <w:rPr>
          <w:b w:val="0"/>
          <w:sz w:val="22"/>
          <w:szCs w:val="22"/>
        </w:rPr>
      </w:pPr>
      <w:r>
        <w:rPr>
          <w:b w:val="0"/>
          <w:sz w:val="22"/>
          <w:szCs w:val="22"/>
        </w:rPr>
        <w:t>As of June 4, 2018</w:t>
      </w:r>
    </w:p>
    <w:p w14:paraId="6E682482" w14:textId="77777777" w:rsidR="00992FF5" w:rsidRPr="002A7B65" w:rsidRDefault="00992FF5" w:rsidP="00992FF5">
      <w:pPr>
        <w:pStyle w:val="pCODR01AppendixHeader"/>
        <w:rPr>
          <w:b w:val="0"/>
          <w:sz w:val="22"/>
          <w:szCs w:val="22"/>
        </w:rPr>
      </w:pPr>
      <w:r w:rsidRPr="002A7B65">
        <w:rPr>
          <w:b w:val="0"/>
          <w:sz w:val="22"/>
          <w:szCs w:val="22"/>
        </w:rPr>
        <w:t>NOTE: All drugs subjected to eligibility criteria.</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12"/>
        <w:gridCol w:w="942"/>
        <w:gridCol w:w="1028"/>
        <w:gridCol w:w="1010"/>
        <w:gridCol w:w="1103"/>
        <w:gridCol w:w="1010"/>
        <w:gridCol w:w="1258"/>
        <w:gridCol w:w="1161"/>
        <w:gridCol w:w="1576"/>
      </w:tblGrid>
      <w:tr w:rsidR="00992FF5" w:rsidRPr="00F90A13" w14:paraId="23317EAC" w14:textId="77777777" w:rsidTr="009B5F35">
        <w:trPr>
          <w:trHeight w:val="252"/>
        </w:trPr>
        <w:tc>
          <w:tcPr>
            <w:tcW w:w="512" w:type="dxa"/>
            <w:shd w:val="clear" w:color="auto" w:fill="F2F2F2" w:themeFill="background1" w:themeFillShade="F2"/>
          </w:tcPr>
          <w:p w14:paraId="2C4D767B" w14:textId="77777777" w:rsidR="00992FF5" w:rsidRPr="00F90A13" w:rsidRDefault="00992FF5" w:rsidP="009B5F35">
            <w:pPr>
              <w:spacing w:after="0"/>
              <w:contextualSpacing/>
              <w:jc w:val="center"/>
              <w:rPr>
                <w:b/>
                <w:bCs/>
                <w:sz w:val="18"/>
                <w:szCs w:val="18"/>
              </w:rPr>
            </w:pPr>
          </w:p>
        </w:tc>
        <w:tc>
          <w:tcPr>
            <w:tcW w:w="942" w:type="dxa"/>
            <w:shd w:val="clear" w:color="auto" w:fill="F2F2F2" w:themeFill="background1" w:themeFillShade="F2"/>
          </w:tcPr>
          <w:p w14:paraId="32C70BD9" w14:textId="77777777" w:rsidR="00992FF5" w:rsidRPr="00F90A13" w:rsidRDefault="00992FF5" w:rsidP="009B5F35">
            <w:pPr>
              <w:spacing w:after="0"/>
              <w:contextualSpacing/>
              <w:jc w:val="center"/>
              <w:rPr>
                <w:b/>
                <w:bCs/>
                <w:sz w:val="18"/>
                <w:szCs w:val="18"/>
              </w:rPr>
            </w:pPr>
            <w:r w:rsidRPr="00F90A13">
              <w:rPr>
                <w:b/>
                <w:bCs/>
                <w:sz w:val="18"/>
                <w:szCs w:val="18"/>
              </w:rPr>
              <w:t>Afatinib</w:t>
            </w:r>
          </w:p>
        </w:tc>
        <w:tc>
          <w:tcPr>
            <w:tcW w:w="1028" w:type="dxa"/>
            <w:shd w:val="clear" w:color="auto" w:fill="F2F2F2" w:themeFill="background1" w:themeFillShade="F2"/>
          </w:tcPr>
          <w:p w14:paraId="191E6265" w14:textId="77777777" w:rsidR="00992FF5" w:rsidRPr="00F90A13" w:rsidRDefault="00992FF5" w:rsidP="009B5F35">
            <w:pPr>
              <w:spacing w:after="0"/>
              <w:contextualSpacing/>
              <w:jc w:val="center"/>
              <w:rPr>
                <w:b/>
                <w:bCs/>
                <w:sz w:val="18"/>
                <w:szCs w:val="18"/>
              </w:rPr>
            </w:pPr>
            <w:r w:rsidRPr="00F90A13">
              <w:rPr>
                <w:b/>
                <w:bCs/>
                <w:sz w:val="18"/>
                <w:szCs w:val="18"/>
              </w:rPr>
              <w:t>Alectinib</w:t>
            </w:r>
          </w:p>
        </w:tc>
        <w:tc>
          <w:tcPr>
            <w:tcW w:w="1010" w:type="dxa"/>
            <w:shd w:val="clear" w:color="auto" w:fill="F2F2F2" w:themeFill="background1" w:themeFillShade="F2"/>
          </w:tcPr>
          <w:p w14:paraId="3DB17902" w14:textId="77777777" w:rsidR="00992FF5" w:rsidRPr="00F90A13" w:rsidRDefault="00992FF5" w:rsidP="009B5F35">
            <w:pPr>
              <w:spacing w:after="0"/>
              <w:contextualSpacing/>
              <w:jc w:val="center"/>
              <w:rPr>
                <w:b/>
                <w:bCs/>
                <w:sz w:val="18"/>
                <w:szCs w:val="18"/>
              </w:rPr>
            </w:pPr>
            <w:r w:rsidRPr="00F90A13">
              <w:rPr>
                <w:b/>
                <w:bCs/>
                <w:sz w:val="18"/>
                <w:szCs w:val="18"/>
              </w:rPr>
              <w:t>Ceritinib</w:t>
            </w:r>
          </w:p>
        </w:tc>
        <w:tc>
          <w:tcPr>
            <w:tcW w:w="1103" w:type="dxa"/>
            <w:shd w:val="clear" w:color="auto" w:fill="F2F2F2" w:themeFill="background1" w:themeFillShade="F2"/>
          </w:tcPr>
          <w:p w14:paraId="5C7C2408" w14:textId="77777777" w:rsidR="00992FF5" w:rsidRPr="00F90A13" w:rsidRDefault="00992FF5" w:rsidP="009B5F35">
            <w:pPr>
              <w:spacing w:after="0"/>
              <w:contextualSpacing/>
              <w:jc w:val="center"/>
              <w:rPr>
                <w:b/>
                <w:bCs/>
                <w:sz w:val="18"/>
                <w:szCs w:val="18"/>
              </w:rPr>
            </w:pPr>
            <w:r w:rsidRPr="00F90A13">
              <w:rPr>
                <w:b/>
                <w:bCs/>
                <w:sz w:val="18"/>
                <w:szCs w:val="18"/>
              </w:rPr>
              <w:t>Crizotinib</w:t>
            </w:r>
          </w:p>
        </w:tc>
        <w:tc>
          <w:tcPr>
            <w:tcW w:w="1010" w:type="dxa"/>
            <w:shd w:val="clear" w:color="auto" w:fill="F2F2F2" w:themeFill="background1" w:themeFillShade="F2"/>
          </w:tcPr>
          <w:p w14:paraId="217F2CBC" w14:textId="77777777" w:rsidR="00992FF5" w:rsidRPr="00F90A13" w:rsidRDefault="00992FF5" w:rsidP="009B5F35">
            <w:pPr>
              <w:spacing w:after="0"/>
              <w:contextualSpacing/>
              <w:jc w:val="center"/>
              <w:rPr>
                <w:b/>
                <w:bCs/>
                <w:sz w:val="18"/>
                <w:szCs w:val="18"/>
              </w:rPr>
            </w:pPr>
            <w:r w:rsidRPr="00F90A13">
              <w:rPr>
                <w:b/>
                <w:bCs/>
                <w:sz w:val="18"/>
                <w:szCs w:val="18"/>
              </w:rPr>
              <w:t>Gefitinib</w:t>
            </w:r>
          </w:p>
        </w:tc>
        <w:tc>
          <w:tcPr>
            <w:tcW w:w="1258" w:type="dxa"/>
            <w:shd w:val="clear" w:color="auto" w:fill="F2F2F2" w:themeFill="background1" w:themeFillShade="F2"/>
          </w:tcPr>
          <w:p w14:paraId="26E3FC5E" w14:textId="77777777" w:rsidR="00992FF5" w:rsidRPr="00F90A13" w:rsidRDefault="00992FF5" w:rsidP="009B5F35">
            <w:pPr>
              <w:spacing w:after="0"/>
              <w:contextualSpacing/>
              <w:jc w:val="center"/>
              <w:rPr>
                <w:b/>
                <w:bCs/>
                <w:sz w:val="18"/>
                <w:szCs w:val="18"/>
              </w:rPr>
            </w:pPr>
            <w:r w:rsidRPr="00F90A13">
              <w:rPr>
                <w:b/>
                <w:bCs/>
                <w:sz w:val="18"/>
                <w:szCs w:val="18"/>
              </w:rPr>
              <w:t>Osimertinib</w:t>
            </w:r>
          </w:p>
        </w:tc>
        <w:tc>
          <w:tcPr>
            <w:tcW w:w="1161" w:type="dxa"/>
            <w:shd w:val="clear" w:color="auto" w:fill="F2F2F2" w:themeFill="background1" w:themeFillShade="F2"/>
          </w:tcPr>
          <w:p w14:paraId="13557459" w14:textId="77777777" w:rsidR="00992FF5" w:rsidRPr="00F90A13" w:rsidRDefault="00992FF5" w:rsidP="009B5F35">
            <w:pPr>
              <w:spacing w:after="0"/>
              <w:contextualSpacing/>
              <w:jc w:val="center"/>
              <w:rPr>
                <w:b/>
                <w:bCs/>
                <w:sz w:val="18"/>
                <w:szCs w:val="18"/>
              </w:rPr>
            </w:pPr>
            <w:r w:rsidRPr="00F90A13">
              <w:rPr>
                <w:b/>
                <w:bCs/>
                <w:sz w:val="18"/>
                <w:szCs w:val="18"/>
              </w:rPr>
              <w:t>Nivolumab</w:t>
            </w:r>
          </w:p>
        </w:tc>
        <w:tc>
          <w:tcPr>
            <w:tcW w:w="1576" w:type="dxa"/>
            <w:shd w:val="clear" w:color="auto" w:fill="F2F2F2" w:themeFill="background1" w:themeFillShade="F2"/>
          </w:tcPr>
          <w:p w14:paraId="505D37C6" w14:textId="77777777" w:rsidR="00992FF5" w:rsidRPr="00F90A13" w:rsidRDefault="00992FF5" w:rsidP="009B5F35">
            <w:pPr>
              <w:spacing w:after="0"/>
              <w:contextualSpacing/>
              <w:jc w:val="center"/>
              <w:rPr>
                <w:b/>
                <w:bCs/>
                <w:sz w:val="18"/>
                <w:szCs w:val="18"/>
              </w:rPr>
            </w:pPr>
            <w:r w:rsidRPr="00F90A13">
              <w:rPr>
                <w:b/>
                <w:bCs/>
                <w:sz w:val="18"/>
                <w:szCs w:val="18"/>
              </w:rPr>
              <w:t>Pembrolizumab</w:t>
            </w:r>
          </w:p>
        </w:tc>
      </w:tr>
      <w:tr w:rsidR="00992FF5" w:rsidRPr="00F90A13" w14:paraId="2313B393" w14:textId="77777777" w:rsidTr="009B5F35">
        <w:trPr>
          <w:trHeight w:val="77"/>
        </w:trPr>
        <w:tc>
          <w:tcPr>
            <w:tcW w:w="512" w:type="dxa"/>
            <w:shd w:val="clear" w:color="auto" w:fill="auto"/>
            <w:hideMark/>
          </w:tcPr>
          <w:p w14:paraId="3CD55ADC" w14:textId="77777777" w:rsidR="00992FF5" w:rsidRPr="00F90A13" w:rsidRDefault="00992FF5" w:rsidP="009B5F35">
            <w:pPr>
              <w:spacing w:after="0"/>
              <w:contextualSpacing/>
              <w:jc w:val="center"/>
              <w:rPr>
                <w:sz w:val="18"/>
                <w:szCs w:val="18"/>
              </w:rPr>
            </w:pPr>
            <w:r w:rsidRPr="00F90A13">
              <w:rPr>
                <w:sz w:val="18"/>
                <w:szCs w:val="18"/>
              </w:rPr>
              <w:t>BC</w:t>
            </w:r>
          </w:p>
        </w:tc>
        <w:tc>
          <w:tcPr>
            <w:tcW w:w="942" w:type="dxa"/>
          </w:tcPr>
          <w:p w14:paraId="600B839C"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34C4E1C5"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00162434"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6C778600"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405CA729"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3D85AC6E"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4C34DE50" w14:textId="77777777" w:rsidR="00992FF5" w:rsidRPr="00F90A13" w:rsidRDefault="00992FF5" w:rsidP="009B5F35">
            <w:pPr>
              <w:spacing w:after="0"/>
              <w:jc w:val="center"/>
              <w:rPr>
                <w:sz w:val="18"/>
                <w:szCs w:val="18"/>
              </w:rPr>
            </w:pPr>
            <w:r w:rsidRPr="00F90A13">
              <w:rPr>
                <w:sz w:val="18"/>
                <w:szCs w:val="18"/>
              </w:rPr>
              <w:sym w:font="Wingdings 2" w:char="F050"/>
            </w:r>
          </w:p>
        </w:tc>
        <w:tc>
          <w:tcPr>
            <w:tcW w:w="1576" w:type="dxa"/>
          </w:tcPr>
          <w:p w14:paraId="2341818D"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3CAFC77C" w14:textId="77777777" w:rsidTr="009B5F35">
        <w:trPr>
          <w:trHeight w:val="110"/>
        </w:trPr>
        <w:tc>
          <w:tcPr>
            <w:tcW w:w="512" w:type="dxa"/>
            <w:shd w:val="clear" w:color="auto" w:fill="auto"/>
            <w:hideMark/>
          </w:tcPr>
          <w:p w14:paraId="45DCCE77" w14:textId="77777777" w:rsidR="00992FF5" w:rsidRPr="00F90A13" w:rsidRDefault="00992FF5" w:rsidP="009B5F35">
            <w:pPr>
              <w:spacing w:after="0"/>
              <w:contextualSpacing/>
              <w:jc w:val="center"/>
              <w:rPr>
                <w:sz w:val="18"/>
                <w:szCs w:val="18"/>
              </w:rPr>
            </w:pPr>
            <w:r w:rsidRPr="00F90A13">
              <w:rPr>
                <w:sz w:val="18"/>
                <w:szCs w:val="18"/>
              </w:rPr>
              <w:t>AB</w:t>
            </w:r>
          </w:p>
        </w:tc>
        <w:tc>
          <w:tcPr>
            <w:tcW w:w="942" w:type="dxa"/>
          </w:tcPr>
          <w:p w14:paraId="42E990AF"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1560612B"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2D7C6F10"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19BD7462"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14269697"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276BE12B"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70A9FEF1" w14:textId="77777777" w:rsidR="00992FF5" w:rsidRPr="00F90A13" w:rsidRDefault="00992FF5" w:rsidP="009B5F35">
            <w:pPr>
              <w:spacing w:after="0"/>
              <w:jc w:val="center"/>
              <w:rPr>
                <w:sz w:val="18"/>
                <w:szCs w:val="18"/>
              </w:rPr>
            </w:pPr>
            <w:r w:rsidRPr="00F90A13">
              <w:rPr>
                <w:sz w:val="18"/>
                <w:szCs w:val="18"/>
              </w:rPr>
              <w:sym w:font="Wingdings 2" w:char="F050"/>
            </w:r>
          </w:p>
        </w:tc>
        <w:tc>
          <w:tcPr>
            <w:tcW w:w="1576" w:type="dxa"/>
          </w:tcPr>
          <w:p w14:paraId="44A658F7"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5E1858EA" w14:textId="77777777" w:rsidTr="009B5F35">
        <w:trPr>
          <w:trHeight w:val="21"/>
        </w:trPr>
        <w:tc>
          <w:tcPr>
            <w:tcW w:w="512" w:type="dxa"/>
            <w:shd w:val="clear" w:color="auto" w:fill="auto"/>
            <w:hideMark/>
          </w:tcPr>
          <w:p w14:paraId="3E84AC06" w14:textId="77777777" w:rsidR="00992FF5" w:rsidRPr="00F90A13" w:rsidRDefault="00992FF5" w:rsidP="009B5F35">
            <w:pPr>
              <w:spacing w:after="0"/>
              <w:contextualSpacing/>
              <w:jc w:val="center"/>
              <w:rPr>
                <w:sz w:val="18"/>
                <w:szCs w:val="18"/>
              </w:rPr>
            </w:pPr>
            <w:r w:rsidRPr="00F90A13">
              <w:rPr>
                <w:sz w:val="18"/>
                <w:szCs w:val="18"/>
              </w:rPr>
              <w:t>SK</w:t>
            </w:r>
          </w:p>
        </w:tc>
        <w:tc>
          <w:tcPr>
            <w:tcW w:w="942" w:type="dxa"/>
          </w:tcPr>
          <w:p w14:paraId="02C84311"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57C19155"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37F13F86"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3D1ED9C3"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6394DEC3"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6132BF45"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72E0B180" w14:textId="77777777" w:rsidR="00992FF5" w:rsidRPr="00F90A13" w:rsidRDefault="00992FF5" w:rsidP="009B5F35">
            <w:pPr>
              <w:spacing w:after="0"/>
              <w:jc w:val="center"/>
              <w:rPr>
                <w:sz w:val="18"/>
                <w:szCs w:val="18"/>
              </w:rPr>
            </w:pPr>
            <w:r w:rsidRPr="00F90A13">
              <w:rPr>
                <w:sz w:val="18"/>
                <w:szCs w:val="18"/>
              </w:rPr>
              <w:sym w:font="Wingdings 2" w:char="F050"/>
            </w:r>
          </w:p>
        </w:tc>
        <w:tc>
          <w:tcPr>
            <w:tcW w:w="1576" w:type="dxa"/>
          </w:tcPr>
          <w:p w14:paraId="310669DF"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29C03E1D" w14:textId="77777777" w:rsidTr="009B5F35">
        <w:trPr>
          <w:trHeight w:val="21"/>
        </w:trPr>
        <w:tc>
          <w:tcPr>
            <w:tcW w:w="512" w:type="dxa"/>
            <w:shd w:val="clear" w:color="auto" w:fill="auto"/>
            <w:hideMark/>
          </w:tcPr>
          <w:p w14:paraId="6717FF18" w14:textId="77777777" w:rsidR="00992FF5" w:rsidRPr="00F90A13" w:rsidRDefault="00992FF5" w:rsidP="009B5F35">
            <w:pPr>
              <w:spacing w:after="0"/>
              <w:contextualSpacing/>
              <w:jc w:val="center"/>
              <w:rPr>
                <w:sz w:val="18"/>
                <w:szCs w:val="18"/>
              </w:rPr>
            </w:pPr>
            <w:r w:rsidRPr="00F90A13">
              <w:rPr>
                <w:sz w:val="18"/>
                <w:szCs w:val="18"/>
              </w:rPr>
              <w:t>MB</w:t>
            </w:r>
          </w:p>
        </w:tc>
        <w:tc>
          <w:tcPr>
            <w:tcW w:w="942" w:type="dxa"/>
          </w:tcPr>
          <w:p w14:paraId="1EA21FC0"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4CA8CF08"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031B4E49"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4996FAF8"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4026DBA1"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2DC490AC"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68EEE083" w14:textId="77777777" w:rsidR="00992FF5" w:rsidRPr="00F90A13" w:rsidRDefault="00992FF5" w:rsidP="009B5F35">
            <w:pPr>
              <w:spacing w:after="0"/>
              <w:jc w:val="center"/>
              <w:rPr>
                <w:sz w:val="18"/>
                <w:szCs w:val="18"/>
              </w:rPr>
            </w:pPr>
            <w:r w:rsidRPr="00F90A13">
              <w:rPr>
                <w:sz w:val="18"/>
                <w:szCs w:val="18"/>
              </w:rPr>
              <w:sym w:font="Wingdings 2" w:char="F050"/>
            </w:r>
          </w:p>
        </w:tc>
        <w:tc>
          <w:tcPr>
            <w:tcW w:w="1576" w:type="dxa"/>
          </w:tcPr>
          <w:p w14:paraId="2F27ED1D"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45A28B6E" w14:textId="77777777" w:rsidTr="009B5F35">
        <w:trPr>
          <w:trHeight w:val="21"/>
        </w:trPr>
        <w:tc>
          <w:tcPr>
            <w:tcW w:w="512" w:type="dxa"/>
            <w:shd w:val="clear" w:color="auto" w:fill="auto"/>
            <w:hideMark/>
          </w:tcPr>
          <w:p w14:paraId="4F1BAA70" w14:textId="77777777" w:rsidR="00992FF5" w:rsidRPr="00F90A13" w:rsidRDefault="00992FF5" w:rsidP="009B5F35">
            <w:pPr>
              <w:spacing w:after="0"/>
              <w:contextualSpacing/>
              <w:jc w:val="center"/>
              <w:rPr>
                <w:sz w:val="18"/>
                <w:szCs w:val="18"/>
              </w:rPr>
            </w:pPr>
            <w:r w:rsidRPr="00F90A13">
              <w:rPr>
                <w:sz w:val="18"/>
                <w:szCs w:val="18"/>
              </w:rPr>
              <w:t>ON</w:t>
            </w:r>
          </w:p>
        </w:tc>
        <w:tc>
          <w:tcPr>
            <w:tcW w:w="942" w:type="dxa"/>
          </w:tcPr>
          <w:p w14:paraId="73666499"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3A2E4096"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1B708FD7"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484ADA4F"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7AA5F32B"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4B6EBD18"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725920F3" w14:textId="77777777" w:rsidR="00992FF5" w:rsidRPr="00F90A13" w:rsidRDefault="00992FF5" w:rsidP="009B5F35">
            <w:pPr>
              <w:spacing w:after="0"/>
              <w:jc w:val="center"/>
              <w:rPr>
                <w:sz w:val="18"/>
                <w:szCs w:val="18"/>
              </w:rPr>
            </w:pPr>
            <w:r w:rsidRPr="00F90A13">
              <w:rPr>
                <w:sz w:val="18"/>
                <w:szCs w:val="18"/>
              </w:rPr>
              <w:sym w:font="Wingdings 2" w:char="F050"/>
            </w:r>
          </w:p>
        </w:tc>
        <w:tc>
          <w:tcPr>
            <w:tcW w:w="1576" w:type="dxa"/>
          </w:tcPr>
          <w:p w14:paraId="6052054F"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73AA4F3F" w14:textId="77777777" w:rsidTr="009B5F35">
        <w:trPr>
          <w:trHeight w:val="21"/>
        </w:trPr>
        <w:tc>
          <w:tcPr>
            <w:tcW w:w="512" w:type="dxa"/>
            <w:shd w:val="clear" w:color="auto" w:fill="auto"/>
          </w:tcPr>
          <w:p w14:paraId="07CBCBBD" w14:textId="77777777" w:rsidR="00992FF5" w:rsidRPr="00F90A13" w:rsidRDefault="00992FF5" w:rsidP="009B5F35">
            <w:pPr>
              <w:spacing w:after="0"/>
              <w:contextualSpacing/>
              <w:jc w:val="center"/>
              <w:rPr>
                <w:sz w:val="18"/>
                <w:szCs w:val="18"/>
              </w:rPr>
            </w:pPr>
            <w:r>
              <w:rPr>
                <w:sz w:val="18"/>
                <w:szCs w:val="18"/>
              </w:rPr>
              <w:t>QC</w:t>
            </w:r>
          </w:p>
        </w:tc>
        <w:tc>
          <w:tcPr>
            <w:tcW w:w="942" w:type="dxa"/>
          </w:tcPr>
          <w:p w14:paraId="3053BDCB"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17A4EE10"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2D4DA312"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1675B96A"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3D56E31C" w14:textId="77777777" w:rsidR="00992FF5" w:rsidRPr="00F90A13" w:rsidRDefault="00992FF5" w:rsidP="009B5F35">
            <w:pPr>
              <w:spacing w:after="0"/>
              <w:jc w:val="center"/>
              <w:rPr>
                <w:sz w:val="18"/>
                <w:szCs w:val="18"/>
              </w:rPr>
            </w:pPr>
            <w:r w:rsidRPr="00F90A13">
              <w:rPr>
                <w:sz w:val="18"/>
                <w:szCs w:val="18"/>
              </w:rPr>
              <w:sym w:font="Wingdings 2" w:char="F050"/>
            </w:r>
          </w:p>
        </w:tc>
        <w:tc>
          <w:tcPr>
            <w:tcW w:w="1258" w:type="dxa"/>
          </w:tcPr>
          <w:p w14:paraId="49538D93"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256B2987" w14:textId="77777777" w:rsidR="00992FF5" w:rsidRPr="00F90A13" w:rsidRDefault="00992FF5" w:rsidP="009B5F35">
            <w:pPr>
              <w:spacing w:after="0"/>
              <w:jc w:val="center"/>
              <w:rPr>
                <w:sz w:val="18"/>
                <w:szCs w:val="18"/>
              </w:rPr>
            </w:pPr>
            <w:r w:rsidRPr="00F90A13">
              <w:rPr>
                <w:sz w:val="18"/>
                <w:szCs w:val="18"/>
              </w:rPr>
              <w:sym w:font="Wingdings" w:char="F0FB"/>
            </w:r>
          </w:p>
        </w:tc>
        <w:tc>
          <w:tcPr>
            <w:tcW w:w="1576" w:type="dxa"/>
          </w:tcPr>
          <w:p w14:paraId="1B24F3D1" w14:textId="77777777"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12D0B6BF" w14:textId="77777777" w:rsidTr="009B5F35">
        <w:trPr>
          <w:trHeight w:val="118"/>
        </w:trPr>
        <w:tc>
          <w:tcPr>
            <w:tcW w:w="512" w:type="dxa"/>
            <w:shd w:val="clear" w:color="auto" w:fill="auto"/>
            <w:hideMark/>
          </w:tcPr>
          <w:p w14:paraId="67AF182C" w14:textId="77777777" w:rsidR="00992FF5" w:rsidRPr="00F90A13" w:rsidRDefault="00992FF5" w:rsidP="009B5F35">
            <w:pPr>
              <w:spacing w:after="0"/>
              <w:contextualSpacing/>
              <w:jc w:val="center"/>
              <w:rPr>
                <w:sz w:val="18"/>
                <w:szCs w:val="18"/>
              </w:rPr>
            </w:pPr>
            <w:r w:rsidRPr="00F90A13">
              <w:rPr>
                <w:sz w:val="18"/>
                <w:szCs w:val="18"/>
              </w:rPr>
              <w:t>NB</w:t>
            </w:r>
          </w:p>
        </w:tc>
        <w:tc>
          <w:tcPr>
            <w:tcW w:w="942" w:type="dxa"/>
          </w:tcPr>
          <w:p w14:paraId="433F4C97"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6E6A1951"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775A17CE"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565042E1"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6022941E" w14:textId="77777777" w:rsidR="00992FF5" w:rsidRPr="00F90A13" w:rsidRDefault="00992FF5" w:rsidP="009B5F35">
            <w:pPr>
              <w:spacing w:after="0"/>
              <w:jc w:val="center"/>
              <w:rPr>
                <w:sz w:val="18"/>
                <w:szCs w:val="18"/>
              </w:rPr>
            </w:pPr>
            <w:r w:rsidRPr="00F90A13">
              <w:rPr>
                <w:sz w:val="18"/>
                <w:szCs w:val="18"/>
              </w:rPr>
              <w:sym w:font="Wingdings" w:char="F0FB"/>
            </w:r>
          </w:p>
        </w:tc>
        <w:tc>
          <w:tcPr>
            <w:tcW w:w="1258" w:type="dxa"/>
          </w:tcPr>
          <w:p w14:paraId="29992FB2"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74C78F9C" w14:textId="77777777" w:rsidR="00992FF5" w:rsidRPr="00EF53B6" w:rsidRDefault="00992FF5" w:rsidP="009B5F35">
            <w:pPr>
              <w:spacing w:after="0"/>
              <w:jc w:val="center"/>
              <w:rPr>
                <w:sz w:val="18"/>
                <w:szCs w:val="18"/>
              </w:rPr>
            </w:pPr>
            <w:r w:rsidRPr="00F90A13">
              <w:rPr>
                <w:sz w:val="18"/>
                <w:szCs w:val="18"/>
              </w:rPr>
              <w:sym w:font="Wingdings 2" w:char="F050"/>
            </w:r>
          </w:p>
        </w:tc>
        <w:tc>
          <w:tcPr>
            <w:tcW w:w="1576" w:type="dxa"/>
          </w:tcPr>
          <w:p w14:paraId="26DD4C9C" w14:textId="3D023606"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30B5E1E3" w14:textId="77777777" w:rsidTr="009B5F35">
        <w:trPr>
          <w:trHeight w:val="21"/>
        </w:trPr>
        <w:tc>
          <w:tcPr>
            <w:tcW w:w="512" w:type="dxa"/>
            <w:shd w:val="clear" w:color="auto" w:fill="auto"/>
            <w:hideMark/>
          </w:tcPr>
          <w:p w14:paraId="6BFF6818" w14:textId="77777777" w:rsidR="00992FF5" w:rsidRPr="00F90A13" w:rsidRDefault="00992FF5" w:rsidP="009B5F35">
            <w:pPr>
              <w:spacing w:after="0"/>
              <w:contextualSpacing/>
              <w:jc w:val="center"/>
              <w:rPr>
                <w:sz w:val="18"/>
                <w:szCs w:val="18"/>
              </w:rPr>
            </w:pPr>
            <w:r w:rsidRPr="00F90A13">
              <w:rPr>
                <w:sz w:val="18"/>
                <w:szCs w:val="18"/>
              </w:rPr>
              <w:t>NS</w:t>
            </w:r>
          </w:p>
        </w:tc>
        <w:tc>
          <w:tcPr>
            <w:tcW w:w="942" w:type="dxa"/>
          </w:tcPr>
          <w:p w14:paraId="40494F17"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576BEE42"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62A05010"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3B2C59D8"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2F7F79C1" w14:textId="77777777" w:rsidR="00992FF5" w:rsidRPr="00F90A13" w:rsidRDefault="00992FF5" w:rsidP="009B5F35">
            <w:pPr>
              <w:spacing w:after="0"/>
              <w:jc w:val="center"/>
              <w:rPr>
                <w:sz w:val="18"/>
                <w:szCs w:val="18"/>
              </w:rPr>
            </w:pPr>
            <w:r w:rsidRPr="00F90A13">
              <w:rPr>
                <w:sz w:val="18"/>
                <w:szCs w:val="18"/>
              </w:rPr>
              <w:sym w:font="Wingdings" w:char="F0FB"/>
            </w:r>
          </w:p>
        </w:tc>
        <w:tc>
          <w:tcPr>
            <w:tcW w:w="1258" w:type="dxa"/>
          </w:tcPr>
          <w:p w14:paraId="486EA320"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5774DD70" w14:textId="77777777" w:rsidR="00992FF5" w:rsidRPr="00EF53B6" w:rsidRDefault="00992FF5" w:rsidP="009B5F35">
            <w:pPr>
              <w:spacing w:after="0"/>
              <w:jc w:val="center"/>
              <w:rPr>
                <w:sz w:val="18"/>
                <w:szCs w:val="18"/>
              </w:rPr>
            </w:pPr>
            <w:r w:rsidRPr="00F90A13">
              <w:rPr>
                <w:sz w:val="18"/>
                <w:szCs w:val="18"/>
              </w:rPr>
              <w:sym w:font="Wingdings 2" w:char="F050"/>
            </w:r>
          </w:p>
        </w:tc>
        <w:tc>
          <w:tcPr>
            <w:tcW w:w="1576" w:type="dxa"/>
          </w:tcPr>
          <w:p w14:paraId="395FF139" w14:textId="77777777" w:rsidR="00992FF5" w:rsidRPr="00F90A13" w:rsidRDefault="00992FF5" w:rsidP="009B5F35">
            <w:pPr>
              <w:spacing w:after="0"/>
              <w:jc w:val="center"/>
              <w:rPr>
                <w:sz w:val="18"/>
                <w:szCs w:val="18"/>
              </w:rPr>
            </w:pPr>
            <w:r w:rsidRPr="00EF53B6">
              <w:rPr>
                <w:sz w:val="18"/>
                <w:szCs w:val="18"/>
              </w:rPr>
              <w:t>†</w:t>
            </w:r>
          </w:p>
        </w:tc>
      </w:tr>
      <w:tr w:rsidR="00992FF5" w:rsidRPr="00F90A13" w14:paraId="09BF96FA" w14:textId="77777777" w:rsidTr="009B5F35">
        <w:trPr>
          <w:trHeight w:val="186"/>
        </w:trPr>
        <w:tc>
          <w:tcPr>
            <w:tcW w:w="512" w:type="dxa"/>
            <w:shd w:val="clear" w:color="auto" w:fill="auto"/>
            <w:hideMark/>
          </w:tcPr>
          <w:p w14:paraId="4CA7948F" w14:textId="77777777" w:rsidR="00992FF5" w:rsidRPr="00F90A13" w:rsidRDefault="00992FF5" w:rsidP="009B5F35">
            <w:pPr>
              <w:spacing w:after="0"/>
              <w:contextualSpacing/>
              <w:jc w:val="center"/>
              <w:rPr>
                <w:sz w:val="18"/>
                <w:szCs w:val="18"/>
              </w:rPr>
            </w:pPr>
            <w:r w:rsidRPr="00F90A13">
              <w:rPr>
                <w:sz w:val="18"/>
                <w:szCs w:val="18"/>
              </w:rPr>
              <w:t>NL</w:t>
            </w:r>
          </w:p>
        </w:tc>
        <w:tc>
          <w:tcPr>
            <w:tcW w:w="942" w:type="dxa"/>
          </w:tcPr>
          <w:p w14:paraId="53FB1CA5"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6386D8F4"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473E01E0"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30DAC42B"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53A47EA3" w14:textId="77777777" w:rsidR="00992FF5" w:rsidRPr="00F90A13" w:rsidRDefault="00992FF5" w:rsidP="009B5F35">
            <w:pPr>
              <w:spacing w:after="0"/>
              <w:jc w:val="center"/>
              <w:rPr>
                <w:sz w:val="18"/>
                <w:szCs w:val="18"/>
              </w:rPr>
            </w:pPr>
            <w:r w:rsidRPr="00F90A13">
              <w:rPr>
                <w:sz w:val="18"/>
                <w:szCs w:val="18"/>
              </w:rPr>
              <w:sym w:font="Wingdings" w:char="F0FB"/>
            </w:r>
          </w:p>
        </w:tc>
        <w:tc>
          <w:tcPr>
            <w:tcW w:w="1258" w:type="dxa"/>
          </w:tcPr>
          <w:p w14:paraId="689B04F6"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1E1A31BA" w14:textId="77777777" w:rsidR="00992FF5" w:rsidRPr="00EF53B6" w:rsidRDefault="00992FF5" w:rsidP="009B5F35">
            <w:pPr>
              <w:spacing w:after="0"/>
              <w:jc w:val="center"/>
              <w:rPr>
                <w:sz w:val="18"/>
                <w:szCs w:val="18"/>
              </w:rPr>
            </w:pPr>
            <w:r w:rsidRPr="00F90A13">
              <w:rPr>
                <w:sz w:val="18"/>
                <w:szCs w:val="18"/>
              </w:rPr>
              <w:sym w:font="Wingdings 2" w:char="F050"/>
            </w:r>
          </w:p>
        </w:tc>
        <w:tc>
          <w:tcPr>
            <w:tcW w:w="1576" w:type="dxa"/>
          </w:tcPr>
          <w:p w14:paraId="6DF276AC" w14:textId="49E7D15A" w:rsidR="00992FF5" w:rsidRPr="00F90A13" w:rsidRDefault="00992FF5" w:rsidP="009B5F35">
            <w:pPr>
              <w:spacing w:after="0"/>
              <w:jc w:val="center"/>
              <w:rPr>
                <w:sz w:val="18"/>
                <w:szCs w:val="18"/>
              </w:rPr>
            </w:pPr>
            <w:r w:rsidRPr="00F90A13">
              <w:rPr>
                <w:sz w:val="18"/>
                <w:szCs w:val="18"/>
              </w:rPr>
              <w:sym w:font="Wingdings 2" w:char="F050"/>
            </w:r>
          </w:p>
        </w:tc>
      </w:tr>
      <w:tr w:rsidR="00992FF5" w:rsidRPr="00F90A13" w14:paraId="56BD5755" w14:textId="77777777" w:rsidTr="009B5F35">
        <w:trPr>
          <w:trHeight w:val="21"/>
        </w:trPr>
        <w:tc>
          <w:tcPr>
            <w:tcW w:w="512" w:type="dxa"/>
            <w:shd w:val="clear" w:color="auto" w:fill="auto"/>
            <w:hideMark/>
          </w:tcPr>
          <w:p w14:paraId="160FBD47" w14:textId="77777777" w:rsidR="00992FF5" w:rsidRPr="00F90A13" w:rsidRDefault="00992FF5" w:rsidP="009B5F35">
            <w:pPr>
              <w:spacing w:after="0"/>
              <w:contextualSpacing/>
              <w:jc w:val="center"/>
              <w:rPr>
                <w:sz w:val="18"/>
                <w:szCs w:val="18"/>
              </w:rPr>
            </w:pPr>
            <w:r w:rsidRPr="00F90A13">
              <w:rPr>
                <w:sz w:val="18"/>
                <w:szCs w:val="18"/>
              </w:rPr>
              <w:t>PEI</w:t>
            </w:r>
          </w:p>
        </w:tc>
        <w:tc>
          <w:tcPr>
            <w:tcW w:w="942" w:type="dxa"/>
          </w:tcPr>
          <w:p w14:paraId="74DD1911" w14:textId="77777777" w:rsidR="00992FF5" w:rsidRPr="00F90A13" w:rsidRDefault="00992FF5" w:rsidP="009B5F35">
            <w:pPr>
              <w:spacing w:after="0"/>
              <w:contextualSpacing/>
              <w:jc w:val="center"/>
              <w:rPr>
                <w:sz w:val="18"/>
                <w:szCs w:val="18"/>
              </w:rPr>
            </w:pPr>
            <w:r w:rsidRPr="00F90A13">
              <w:rPr>
                <w:sz w:val="18"/>
                <w:szCs w:val="18"/>
              </w:rPr>
              <w:sym w:font="Wingdings 2" w:char="F050"/>
            </w:r>
          </w:p>
        </w:tc>
        <w:tc>
          <w:tcPr>
            <w:tcW w:w="1028" w:type="dxa"/>
          </w:tcPr>
          <w:p w14:paraId="61179DEE" w14:textId="77777777" w:rsidR="00992FF5" w:rsidRPr="00F90A13" w:rsidRDefault="00992FF5" w:rsidP="009B5F35">
            <w:pPr>
              <w:spacing w:after="0"/>
              <w:contextualSpacing/>
              <w:jc w:val="center"/>
              <w:rPr>
                <w:sz w:val="18"/>
                <w:szCs w:val="18"/>
              </w:rPr>
            </w:pPr>
            <w:r w:rsidRPr="00F90A13">
              <w:rPr>
                <w:sz w:val="18"/>
                <w:szCs w:val="18"/>
              </w:rPr>
              <w:t>†</w:t>
            </w:r>
          </w:p>
        </w:tc>
        <w:tc>
          <w:tcPr>
            <w:tcW w:w="1010" w:type="dxa"/>
          </w:tcPr>
          <w:p w14:paraId="62129DEF" w14:textId="77777777" w:rsidR="00992FF5" w:rsidRPr="00F90A13" w:rsidRDefault="00992FF5" w:rsidP="009B5F35">
            <w:pPr>
              <w:spacing w:after="0"/>
              <w:jc w:val="center"/>
              <w:rPr>
                <w:sz w:val="18"/>
                <w:szCs w:val="18"/>
              </w:rPr>
            </w:pPr>
            <w:r w:rsidRPr="00F90A13">
              <w:rPr>
                <w:sz w:val="18"/>
                <w:szCs w:val="18"/>
              </w:rPr>
              <w:t>†</w:t>
            </w:r>
          </w:p>
        </w:tc>
        <w:tc>
          <w:tcPr>
            <w:tcW w:w="1103" w:type="dxa"/>
          </w:tcPr>
          <w:p w14:paraId="7F41B7EE" w14:textId="77777777" w:rsidR="00992FF5" w:rsidRPr="00F90A13" w:rsidRDefault="00992FF5" w:rsidP="009B5F35">
            <w:pPr>
              <w:spacing w:after="0"/>
              <w:jc w:val="center"/>
              <w:rPr>
                <w:sz w:val="18"/>
                <w:szCs w:val="18"/>
              </w:rPr>
            </w:pPr>
            <w:r w:rsidRPr="00F90A13">
              <w:rPr>
                <w:sz w:val="18"/>
                <w:szCs w:val="18"/>
              </w:rPr>
              <w:sym w:font="Wingdings 2" w:char="F050"/>
            </w:r>
          </w:p>
        </w:tc>
        <w:tc>
          <w:tcPr>
            <w:tcW w:w="1010" w:type="dxa"/>
          </w:tcPr>
          <w:p w14:paraId="173A2B10" w14:textId="77777777" w:rsidR="00992FF5" w:rsidRPr="00F90A13" w:rsidRDefault="00992FF5" w:rsidP="009B5F35">
            <w:pPr>
              <w:spacing w:after="0"/>
              <w:jc w:val="center"/>
              <w:rPr>
                <w:sz w:val="18"/>
                <w:szCs w:val="18"/>
              </w:rPr>
            </w:pPr>
            <w:r w:rsidRPr="00F90A13">
              <w:rPr>
                <w:sz w:val="18"/>
                <w:szCs w:val="18"/>
              </w:rPr>
              <w:sym w:font="Wingdings" w:char="F0FB"/>
            </w:r>
          </w:p>
        </w:tc>
        <w:tc>
          <w:tcPr>
            <w:tcW w:w="1258" w:type="dxa"/>
          </w:tcPr>
          <w:p w14:paraId="2D92B332" w14:textId="77777777" w:rsidR="00992FF5" w:rsidRPr="00F90A13" w:rsidRDefault="00992FF5" w:rsidP="009B5F35">
            <w:pPr>
              <w:spacing w:after="0"/>
              <w:jc w:val="center"/>
              <w:rPr>
                <w:sz w:val="18"/>
                <w:szCs w:val="18"/>
              </w:rPr>
            </w:pPr>
            <w:r w:rsidRPr="00F90A13">
              <w:rPr>
                <w:sz w:val="18"/>
                <w:szCs w:val="18"/>
              </w:rPr>
              <w:t>†</w:t>
            </w:r>
          </w:p>
        </w:tc>
        <w:tc>
          <w:tcPr>
            <w:tcW w:w="1161" w:type="dxa"/>
          </w:tcPr>
          <w:p w14:paraId="6FF14959" w14:textId="77777777" w:rsidR="00992FF5" w:rsidRPr="00EF53B6" w:rsidRDefault="00992FF5" w:rsidP="009B5F35">
            <w:pPr>
              <w:spacing w:after="0"/>
              <w:jc w:val="center"/>
              <w:rPr>
                <w:sz w:val="18"/>
                <w:szCs w:val="18"/>
              </w:rPr>
            </w:pPr>
            <w:r w:rsidRPr="00F90A13">
              <w:rPr>
                <w:sz w:val="18"/>
                <w:szCs w:val="18"/>
              </w:rPr>
              <w:t>†</w:t>
            </w:r>
          </w:p>
        </w:tc>
        <w:tc>
          <w:tcPr>
            <w:tcW w:w="1576" w:type="dxa"/>
          </w:tcPr>
          <w:p w14:paraId="1697C06A" w14:textId="77777777" w:rsidR="00992FF5" w:rsidRPr="00F90A13" w:rsidRDefault="00992FF5" w:rsidP="009B5F35">
            <w:pPr>
              <w:spacing w:after="0"/>
              <w:jc w:val="center"/>
              <w:rPr>
                <w:sz w:val="18"/>
                <w:szCs w:val="18"/>
              </w:rPr>
            </w:pPr>
            <w:r w:rsidRPr="00EF53B6">
              <w:rPr>
                <w:sz w:val="18"/>
                <w:szCs w:val="18"/>
              </w:rPr>
              <w:t>†</w:t>
            </w:r>
          </w:p>
        </w:tc>
      </w:tr>
    </w:tbl>
    <w:p w14:paraId="38CC33E4" w14:textId="77777777" w:rsidR="00992FF5" w:rsidRDefault="00992FF5" w:rsidP="00992FF5">
      <w:pPr>
        <w:rPr>
          <w:sz w:val="21"/>
        </w:rPr>
      </w:pPr>
    </w:p>
    <w:p w14:paraId="0CEF8DC5" w14:textId="77777777" w:rsidR="00992FF5" w:rsidRDefault="00992FF5" w:rsidP="00992FF5">
      <w:pPr>
        <w:rPr>
          <w:sz w:val="18"/>
          <w:szCs w:val="18"/>
        </w:rPr>
      </w:pPr>
      <w:r w:rsidRPr="00F90A13">
        <w:rPr>
          <w:sz w:val="21"/>
        </w:rPr>
        <w:t xml:space="preserve">Legend: </w:t>
      </w:r>
      <w:r w:rsidRPr="00F90A13">
        <w:rPr>
          <w:sz w:val="18"/>
          <w:szCs w:val="18"/>
        </w:rPr>
        <w:sym w:font="Wingdings 2" w:char="F050"/>
      </w:r>
      <w:r>
        <w:rPr>
          <w:sz w:val="18"/>
          <w:szCs w:val="18"/>
        </w:rPr>
        <w:t xml:space="preserve"> Funded, </w:t>
      </w:r>
      <w:r w:rsidRPr="00F90A13">
        <w:rPr>
          <w:sz w:val="18"/>
          <w:szCs w:val="18"/>
        </w:rPr>
        <w:sym w:font="Wingdings" w:char="F0FB"/>
      </w:r>
      <w:r>
        <w:rPr>
          <w:sz w:val="18"/>
          <w:szCs w:val="18"/>
        </w:rPr>
        <w:t xml:space="preserve"> Not funded, </w:t>
      </w:r>
      <w:r w:rsidRPr="00F90A13">
        <w:rPr>
          <w:sz w:val="18"/>
          <w:szCs w:val="18"/>
        </w:rPr>
        <w:t>†</w:t>
      </w:r>
      <w:r>
        <w:rPr>
          <w:sz w:val="18"/>
          <w:szCs w:val="18"/>
        </w:rPr>
        <w:t xml:space="preserve"> Funding decision pending</w:t>
      </w:r>
    </w:p>
    <w:p w14:paraId="0CC7465A"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6A42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C6B9C">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C6B9C">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5667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C6B9C">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C6B9C">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03FE8"/>
    <w:multiLevelType w:val="hybridMultilevel"/>
    <w:tmpl w:val="AE52F2EA"/>
    <w:lvl w:ilvl="0" w:tplc="8FF2DB0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AF93C8F"/>
    <w:multiLevelType w:val="hybridMultilevel"/>
    <w:tmpl w:val="14AEA28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DDE2AA9"/>
    <w:multiLevelType w:val="hybridMultilevel"/>
    <w:tmpl w:val="A880D7C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7"/>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8"/>
  </w:num>
  <w:num w:numId="49">
    <w:abstractNumId w:val="35"/>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6EE7"/>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3E7"/>
    <w:rsid w:val="004A4987"/>
    <w:rsid w:val="004A4EF1"/>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6E8"/>
    <w:rsid w:val="00723A67"/>
    <w:rsid w:val="0073015B"/>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2FF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43C"/>
    <w:rsid w:val="00AA1BA7"/>
    <w:rsid w:val="00AA22F5"/>
    <w:rsid w:val="00AA2B46"/>
    <w:rsid w:val="00AA39A7"/>
    <w:rsid w:val="00AA43C6"/>
    <w:rsid w:val="00AA5078"/>
    <w:rsid w:val="00AA5D9D"/>
    <w:rsid w:val="00AB339E"/>
    <w:rsid w:val="00AC2C8E"/>
    <w:rsid w:val="00AC6B9C"/>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96E1D"/>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jnccn.org/content/15/4/504.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smo.org/Guidelines/Lung-and-Chest-Tumours/Early-Stage-and-Locally-Advanced-non-metastatic-Non-Small-Cell-Lung-Cancer"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55804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ejm.org/doi/full/10.1056/NEJMoa1801005"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5786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8769-0023-4109-9E5A-0B2C0A4B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2018-08-13T11:52:00Z</dcterms:created>
  <dcterms:modified xsi:type="dcterms:W3CDTF">2018-08-14T20:22:00Z</dcterms:modified>
</cp:coreProperties>
</file>