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F26659F" w:rsidR="00121EB1" w:rsidRPr="00BE4AA6" w:rsidRDefault="00BE4AA6" w:rsidP="00EB0EEF">
            <w:pPr>
              <w:pStyle w:val="DocumentTitle"/>
              <w:tabs>
                <w:tab w:val="left" w:pos="1074"/>
              </w:tabs>
              <w:spacing w:before="0" w:after="0"/>
              <w:rPr>
                <w:sz w:val="18"/>
                <w:szCs w:val="20"/>
              </w:rPr>
            </w:pPr>
            <w:r w:rsidRPr="00BE4AA6">
              <w:rPr>
                <w:sz w:val="18"/>
                <w:szCs w:val="20"/>
              </w:rPr>
              <w:t>pCODR 10156</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5AC5D033" w:rsidR="00F369F8" w:rsidRPr="00BE4AA6" w:rsidRDefault="00BE4AA6" w:rsidP="00EB0EEF">
            <w:pPr>
              <w:pStyle w:val="DocumentTitle"/>
              <w:tabs>
                <w:tab w:val="left" w:pos="1074"/>
              </w:tabs>
              <w:spacing w:before="0" w:after="0"/>
              <w:rPr>
                <w:sz w:val="18"/>
                <w:szCs w:val="20"/>
              </w:rPr>
            </w:pPr>
            <w:r w:rsidRPr="00BE4AA6">
              <w:rPr>
                <w:sz w:val="18"/>
                <w:szCs w:val="20"/>
              </w:rPr>
              <w:t>Atezolizumab (Tecentriq)</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E97C979" w:rsidR="00F369F8" w:rsidRPr="00BE4AA6" w:rsidRDefault="00D96E1D" w:rsidP="00EB0EEF">
            <w:pPr>
              <w:pStyle w:val="DocumentTitle"/>
              <w:tabs>
                <w:tab w:val="left" w:pos="1074"/>
              </w:tabs>
              <w:spacing w:before="0" w:after="0"/>
              <w:rPr>
                <w:sz w:val="18"/>
                <w:szCs w:val="20"/>
                <w:highlight w:val="yellow"/>
              </w:rPr>
            </w:pPr>
            <w:r w:rsidRPr="00BE4AA6">
              <w:rPr>
                <w:sz w:val="18"/>
                <w:szCs w:val="20"/>
              </w:rPr>
              <w:t>Small Cell Lung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A11B6D0" w:rsidR="007621EE" w:rsidRPr="00BE4AA6" w:rsidRDefault="007621EE" w:rsidP="00FC4549">
            <w:pPr>
              <w:pStyle w:val="DocumentTitle"/>
              <w:tabs>
                <w:tab w:val="left" w:pos="1074"/>
              </w:tabs>
              <w:spacing w:before="0" w:after="0"/>
              <w:rPr>
                <w:sz w:val="18"/>
                <w:szCs w:val="20"/>
                <w:highlight w:val="yellow"/>
              </w:rPr>
            </w:pPr>
            <w:r w:rsidRPr="007621EE">
              <w:rPr>
                <w:sz w:val="18"/>
                <w:szCs w:val="20"/>
              </w:rPr>
              <w:t>For the first-line treatment of patients with extensive stage small cell lung cancer (ES-SCLC) in combination with a platinum-based chemotherapy and etoposide. Maintenance TECENTRIQ should be continued until loss of clinical benefit or unacceptable toxicity.</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BE4AA6" w:rsidRDefault="00554ADB" w:rsidP="00EB0EEF">
            <w:pPr>
              <w:pStyle w:val="DocumentTitle"/>
              <w:tabs>
                <w:tab w:val="left" w:pos="1074"/>
              </w:tabs>
              <w:spacing w:before="0" w:after="0"/>
              <w:rPr>
                <w:color w:val="FFFFFF" w:themeColor="background1"/>
                <w:sz w:val="18"/>
                <w:szCs w:val="20"/>
              </w:rPr>
            </w:pPr>
            <w:r w:rsidRPr="00BE4AA6">
              <w:rPr>
                <w:color w:val="FFFFFF" w:themeColor="background1"/>
                <w:sz w:val="18"/>
                <w:szCs w:val="20"/>
              </w:rPr>
              <w:t xml:space="preserve">Trial(s) </w:t>
            </w:r>
            <w:r w:rsidR="00D47251" w:rsidRPr="00BE4AA6">
              <w:rPr>
                <w:color w:val="FFFFFF" w:themeColor="background1"/>
                <w:sz w:val="18"/>
                <w:szCs w:val="20"/>
              </w:rPr>
              <w:t>B</w:t>
            </w:r>
            <w:r w:rsidRPr="00BE4AA6">
              <w:rPr>
                <w:color w:val="FFFFFF" w:themeColor="background1"/>
                <w:sz w:val="18"/>
                <w:szCs w:val="20"/>
              </w:rPr>
              <w:t xml:space="preserve">eing </w:t>
            </w:r>
            <w:r w:rsidR="00D47251" w:rsidRPr="00BE4AA6">
              <w:rPr>
                <w:color w:val="FFFFFF" w:themeColor="background1"/>
                <w:sz w:val="18"/>
                <w:szCs w:val="20"/>
              </w:rPr>
              <w:t>S</w:t>
            </w:r>
            <w:r w:rsidRPr="00BE4AA6">
              <w:rPr>
                <w:color w:val="FFFFFF" w:themeColor="background1"/>
                <w:sz w:val="18"/>
                <w:szCs w:val="20"/>
              </w:rPr>
              <w:t xml:space="preserve">ubmitted </w:t>
            </w:r>
            <w:r w:rsidR="00F92BE1" w:rsidRPr="00BE4AA6">
              <w:rPr>
                <w:color w:val="FFFFFF" w:themeColor="background1"/>
                <w:sz w:val="18"/>
                <w:szCs w:val="20"/>
              </w:rPr>
              <w:t>to</w:t>
            </w:r>
            <w:r w:rsidRPr="00BE4AA6">
              <w:rPr>
                <w:color w:val="FFFFFF" w:themeColor="background1"/>
                <w:sz w:val="18"/>
                <w:szCs w:val="20"/>
              </w:rPr>
              <w:t xml:space="preserve"> pCODR</w:t>
            </w:r>
            <w:r w:rsidR="00865015" w:rsidRPr="00BE4AA6">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2196A42" w14:textId="77777777" w:rsidR="00CC380E" w:rsidRPr="00BE4AA6" w:rsidRDefault="00BE4AA6" w:rsidP="00BE4AA6">
            <w:pPr>
              <w:pStyle w:val="DocumentTitle"/>
              <w:numPr>
                <w:ilvl w:val="0"/>
                <w:numId w:val="44"/>
              </w:numPr>
              <w:tabs>
                <w:tab w:val="left" w:pos="1074"/>
              </w:tabs>
              <w:spacing w:before="0" w:after="0"/>
              <w:ind w:left="245" w:hanging="180"/>
              <w:rPr>
                <w:sz w:val="18"/>
                <w:szCs w:val="18"/>
              </w:rPr>
            </w:pPr>
            <w:r w:rsidRPr="00BE4AA6">
              <w:rPr>
                <w:color w:val="000000"/>
                <w:sz w:val="18"/>
                <w:szCs w:val="18"/>
                <w:shd w:val="clear" w:color="auto" w:fill="FFFFFF"/>
              </w:rPr>
              <w:t>IMpower133 (</w:t>
            </w:r>
            <w:hyperlink r:id="rId14" w:tgtFrame="_blank" w:history="1">
              <w:r w:rsidRPr="00BE4AA6">
                <w:rPr>
                  <w:rStyle w:val="Hyperlink"/>
                  <w:sz w:val="18"/>
                  <w:szCs w:val="18"/>
                  <w:bdr w:val="none" w:sz="0" w:space="0" w:color="auto" w:frame="1"/>
                  <w:shd w:val="clear" w:color="auto" w:fill="FFFFFF"/>
                </w:rPr>
                <w:t>NCT02763579</w:t>
              </w:r>
            </w:hyperlink>
            <w:r w:rsidRPr="00BE4AA6">
              <w:rPr>
                <w:color w:val="000000"/>
                <w:sz w:val="18"/>
                <w:szCs w:val="18"/>
                <w:shd w:val="clear" w:color="auto" w:fill="FFFFFF"/>
              </w:rPr>
              <w:t>)</w:t>
            </w:r>
          </w:p>
          <w:p w14:paraId="52AF8FBD" w14:textId="5D7A6163" w:rsidR="00BE4AA6" w:rsidRPr="00BE4AA6" w:rsidRDefault="007621EE" w:rsidP="00BE4AA6">
            <w:pPr>
              <w:pStyle w:val="DocumentTitle"/>
              <w:numPr>
                <w:ilvl w:val="0"/>
                <w:numId w:val="44"/>
              </w:numPr>
              <w:tabs>
                <w:tab w:val="left" w:pos="1074"/>
              </w:tabs>
              <w:spacing w:before="0" w:after="0"/>
              <w:ind w:left="245" w:hanging="180"/>
              <w:rPr>
                <w:sz w:val="18"/>
                <w:szCs w:val="20"/>
              </w:rPr>
            </w:pPr>
            <w:hyperlink r:id="rId15" w:history="1">
              <w:r w:rsidR="00BE4AA6" w:rsidRPr="00BE4AA6">
                <w:rPr>
                  <w:rStyle w:val="Hyperlink"/>
                  <w:sz w:val="18"/>
                  <w:szCs w:val="18"/>
                </w:rPr>
                <w:t>Horn et al, NEJM September 2018</w:t>
              </w:r>
            </w:hyperlink>
            <w:bookmarkStart w:id="0" w:name="_GoBack"/>
            <w:bookmarkEnd w:id="0"/>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08093B77" w:rsidR="00275E1C" w:rsidRPr="00BE4AA6" w:rsidRDefault="00275E1C" w:rsidP="00EB0EEF">
            <w:pPr>
              <w:pStyle w:val="DocumentTitle"/>
              <w:tabs>
                <w:tab w:val="left" w:pos="1074"/>
              </w:tabs>
              <w:spacing w:before="0" w:after="0"/>
              <w:rPr>
                <w:color w:val="FFFFFF" w:themeColor="background1"/>
                <w:sz w:val="18"/>
                <w:szCs w:val="20"/>
              </w:rPr>
            </w:pPr>
            <w:r w:rsidRPr="00BE4AA6">
              <w:rPr>
                <w:color w:val="FFFFFF" w:themeColor="background1"/>
                <w:sz w:val="18"/>
                <w:szCs w:val="20"/>
              </w:rPr>
              <w:t xml:space="preserve">Health Canada </w:t>
            </w:r>
            <w:r w:rsidR="00D47251" w:rsidRPr="00BE4AA6">
              <w:rPr>
                <w:color w:val="FFFFFF" w:themeColor="background1"/>
                <w:sz w:val="18"/>
                <w:szCs w:val="20"/>
              </w:rPr>
              <w:t>S</w:t>
            </w:r>
            <w:r w:rsidRPr="00BE4AA6">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C573E6D" w:rsidR="00275E1C" w:rsidRPr="00BE4AA6" w:rsidRDefault="004A4EF1" w:rsidP="00D96E1D">
            <w:pPr>
              <w:pStyle w:val="DocumentTitle"/>
              <w:tabs>
                <w:tab w:val="left" w:pos="1074"/>
              </w:tabs>
              <w:spacing w:before="0" w:after="0"/>
              <w:rPr>
                <w:color w:val="C00000"/>
                <w:sz w:val="18"/>
                <w:szCs w:val="20"/>
              </w:rPr>
            </w:pPr>
            <w:r w:rsidRPr="00BE4AA6">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3AF6E9CF" w:rsidR="004A4EF1" w:rsidRPr="00BE4AA6" w:rsidRDefault="004A4EF1" w:rsidP="004A4EF1">
            <w:pPr>
              <w:pStyle w:val="DocumentTitle"/>
              <w:tabs>
                <w:tab w:val="left" w:pos="1074"/>
              </w:tabs>
              <w:spacing w:before="0" w:after="0"/>
              <w:rPr>
                <w:sz w:val="18"/>
                <w:szCs w:val="20"/>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2D7471AF" w:rsidR="00F369F8" w:rsidRPr="00BE4AA6" w:rsidRDefault="00F369F8" w:rsidP="00EB0EEF">
            <w:pPr>
              <w:pStyle w:val="DocumentTitle"/>
              <w:tabs>
                <w:tab w:val="left" w:pos="1074"/>
              </w:tabs>
              <w:spacing w:before="0" w:after="0"/>
              <w:rPr>
                <w:color w:val="C00000"/>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59838429" w:rsidR="004A4EF1" w:rsidRPr="00BE4AA6" w:rsidRDefault="007621EE" w:rsidP="00BE4AA6">
            <w:pPr>
              <w:pStyle w:val="DocumentTitle"/>
              <w:tabs>
                <w:tab w:val="left" w:pos="1074"/>
              </w:tabs>
              <w:spacing w:before="120"/>
              <w:rPr>
                <w:sz w:val="18"/>
                <w:szCs w:val="20"/>
                <w:highlight w:val="yellow"/>
              </w:rPr>
            </w:pPr>
            <w:hyperlink r:id="rId16" w:history="1">
              <w:r w:rsidR="00BE4AA6" w:rsidRPr="00BE4AA6">
                <w:rPr>
                  <w:rStyle w:val="Hyperlink"/>
                  <w:sz w:val="18"/>
                  <w:szCs w:val="20"/>
                </w:rPr>
                <w:t>NCCN Guidelines for Small Cell Lung Cancer.</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3126555" w:rsidR="00420EEA" w:rsidRPr="00BE4AA6" w:rsidRDefault="00BE4AA6" w:rsidP="007236E8">
            <w:pPr>
              <w:pStyle w:val="DocumentTitle"/>
              <w:tabs>
                <w:tab w:val="left" w:pos="1074"/>
              </w:tabs>
              <w:spacing w:before="0" w:after="0"/>
              <w:rPr>
                <w:sz w:val="18"/>
                <w:szCs w:val="20"/>
                <w:highlight w:val="yellow"/>
              </w:rPr>
            </w:pPr>
            <w:r w:rsidRPr="002F3332">
              <w:rPr>
                <w:sz w:val="18"/>
                <w:szCs w:val="20"/>
              </w:rPr>
              <w:t>The current standard of care for chemotherapy-naïve patients with extensive stage small cell lung cancer (SCLC) is platinum-based chemotherapy (e.g., cisplatin/etoposide; carboplatin/etoposide).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7621E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Pr="002F3332"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w:t>
      </w:r>
      <w:r w:rsidR="006F03F1" w:rsidRPr="002F3332">
        <w:rPr>
          <w:rFonts w:ascii="Arial" w:hAnsi="Arial" w:cs="Arial"/>
          <w:sz w:val="18"/>
        </w:rPr>
        <w:t xml:space="preserve">responses would be taken into consideration, among other factors, when </w:t>
      </w:r>
      <w:r w:rsidRPr="002F3332">
        <w:rPr>
          <w:rFonts w:ascii="Arial" w:hAnsi="Arial" w:cs="Arial"/>
          <w:sz w:val="18"/>
        </w:rPr>
        <w:t xml:space="preserve">Ministries of Health and </w:t>
      </w:r>
      <w:r w:rsidR="006F03F1" w:rsidRPr="002F3332">
        <w:rPr>
          <w:rFonts w:ascii="Arial" w:hAnsi="Arial" w:cs="Arial"/>
          <w:sz w:val="18"/>
        </w:rPr>
        <w:t>provincial cancer programs make their final funding decisions.</w:t>
      </w:r>
    </w:p>
    <w:p w14:paraId="6DE78208" w14:textId="4D7B1B10" w:rsidR="00AC6B9C" w:rsidRPr="002F3332" w:rsidRDefault="00AC6B9C" w:rsidP="00AC6B9C">
      <w:pPr>
        <w:pStyle w:val="pCODR1Body"/>
        <w:spacing w:after="0"/>
        <w:ind w:left="426"/>
        <w:rPr>
          <w:rFonts w:ascii="Arial" w:hAnsi="Arial" w:cs="Arial"/>
          <w:sz w:val="18"/>
        </w:rPr>
      </w:pPr>
      <w:r w:rsidRPr="002F3332">
        <w:rPr>
          <w:rFonts w:ascii="Arial" w:hAnsi="Arial" w:cs="Arial"/>
          <w:b/>
          <w:sz w:val="18"/>
        </w:rPr>
        <w:t xml:space="preserve">4.1. </w:t>
      </w:r>
      <w:r w:rsidR="00BE4AA6" w:rsidRPr="002F3332">
        <w:rPr>
          <w:rFonts w:ascii="Arial" w:hAnsi="Arial" w:cs="Arial"/>
          <w:sz w:val="18"/>
        </w:rPr>
        <w:t>In some jurisdictions cisplatin/etoposide is commonly used, are the results from the IMpower333 trial generalizab</w:t>
      </w:r>
      <w:r w:rsidR="00DF4285">
        <w:rPr>
          <w:rFonts w:ascii="Arial" w:hAnsi="Arial" w:cs="Arial"/>
          <w:sz w:val="18"/>
        </w:rPr>
        <w:t>le</w:t>
      </w:r>
      <w:r w:rsidR="00BE4AA6" w:rsidRPr="002F3332">
        <w:rPr>
          <w:rFonts w:ascii="Arial" w:hAnsi="Arial" w:cs="Arial"/>
          <w:sz w:val="18"/>
        </w:rPr>
        <w:t xml:space="preserve"> to cisplatin/etoposide with atezolizumab?</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BE4AA6" w:rsidRPr="002F3332" w14:paraId="279BB2A4" w14:textId="77777777" w:rsidTr="00BE4AA6">
        <w:trPr>
          <w:trHeight w:val="81"/>
        </w:trPr>
        <w:tc>
          <w:tcPr>
            <w:tcW w:w="10292" w:type="dxa"/>
          </w:tcPr>
          <w:p w14:paraId="753FB1FA" w14:textId="77777777" w:rsidR="00AC6B9C" w:rsidRPr="002F3332" w:rsidRDefault="00AC6B9C" w:rsidP="00BE4AA6">
            <w:pPr>
              <w:pStyle w:val="pCODR01AppendixHeader"/>
              <w:spacing w:before="0" w:after="0"/>
              <w:rPr>
                <w:rFonts w:ascii="Arial" w:hAnsi="Arial" w:cs="Arial"/>
                <w:spacing w:val="0"/>
              </w:rPr>
            </w:pPr>
          </w:p>
        </w:tc>
      </w:tr>
    </w:tbl>
    <w:p w14:paraId="1A75B729" w14:textId="27F49AE8" w:rsidR="00AC6B9C" w:rsidRPr="002F3332" w:rsidRDefault="00AC6B9C" w:rsidP="00AC6B9C">
      <w:pPr>
        <w:pStyle w:val="pCODR1Body"/>
        <w:spacing w:after="0"/>
        <w:rPr>
          <w:rFonts w:ascii="Arial" w:hAnsi="Arial" w:cs="Arial"/>
          <w:b/>
          <w:sz w:val="18"/>
        </w:rPr>
      </w:pPr>
    </w:p>
    <w:p w14:paraId="455639E1" w14:textId="50D00A9D" w:rsidR="00AC6B9C" w:rsidRPr="002F3332" w:rsidRDefault="00AC6B9C" w:rsidP="00AC6B9C">
      <w:pPr>
        <w:pStyle w:val="pCODR1Body"/>
        <w:spacing w:after="0"/>
        <w:ind w:left="426"/>
        <w:rPr>
          <w:rFonts w:ascii="Arial" w:hAnsi="Arial" w:cs="Arial"/>
          <w:sz w:val="18"/>
        </w:rPr>
      </w:pPr>
      <w:r w:rsidRPr="002F3332">
        <w:rPr>
          <w:rFonts w:ascii="Arial" w:hAnsi="Arial" w:cs="Arial"/>
          <w:b/>
          <w:sz w:val="18"/>
        </w:rPr>
        <w:t>4.2</w:t>
      </w:r>
      <w:r w:rsidRPr="002F3332">
        <w:rPr>
          <w:rFonts w:ascii="Arial" w:hAnsi="Arial" w:cs="Arial"/>
          <w:sz w:val="18"/>
        </w:rPr>
        <w:t xml:space="preserve"> </w:t>
      </w:r>
      <w:r w:rsidR="00BE4AA6" w:rsidRPr="002F3332">
        <w:rPr>
          <w:rFonts w:ascii="Arial" w:hAnsi="Arial" w:cs="Arial"/>
          <w:sz w:val="18"/>
        </w:rPr>
        <w:t>If atezolizumab was available, in clinical practice what stopping rules should be used for atezolizumab in the maintenance setting? Are the usual immunotherapy stopping rules appropriate (10% increase in total tumour burden confirmed with a second CT scan 6-8 weeks following the last scan if progression is suspected)?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BE4AA6" w:rsidRPr="002F3332" w14:paraId="67CB975E" w14:textId="77777777" w:rsidTr="00BE4AA6">
        <w:trPr>
          <w:trHeight w:val="50"/>
        </w:trPr>
        <w:tc>
          <w:tcPr>
            <w:tcW w:w="10292" w:type="dxa"/>
          </w:tcPr>
          <w:p w14:paraId="1A98824E" w14:textId="77777777" w:rsidR="00AC6B9C" w:rsidRPr="002F3332" w:rsidRDefault="00AC6B9C" w:rsidP="00BE4AA6">
            <w:pPr>
              <w:pStyle w:val="pCODR01AppendixHeader"/>
              <w:spacing w:before="0" w:after="0"/>
              <w:rPr>
                <w:rFonts w:ascii="Arial" w:hAnsi="Arial" w:cs="Arial"/>
                <w:spacing w:val="0"/>
              </w:rPr>
            </w:pPr>
          </w:p>
        </w:tc>
      </w:tr>
    </w:tbl>
    <w:p w14:paraId="77AD3119" w14:textId="77777777" w:rsidR="00AC6B9C" w:rsidRPr="002F3332" w:rsidRDefault="00AC6B9C" w:rsidP="00BE4AA6">
      <w:pPr>
        <w:pStyle w:val="pCODR1Body"/>
        <w:spacing w:after="0"/>
        <w:rPr>
          <w:rFonts w:ascii="Arial" w:hAnsi="Arial" w:cs="Arial"/>
          <w:b/>
          <w:sz w:val="18"/>
        </w:rPr>
      </w:pPr>
    </w:p>
    <w:p w14:paraId="2A738DF1" w14:textId="408C0FD2" w:rsidR="00BE4AA6" w:rsidRPr="002F3332" w:rsidRDefault="00AC6B9C" w:rsidP="00BE4AA6">
      <w:pPr>
        <w:pStyle w:val="pCODR1Body"/>
        <w:spacing w:after="0"/>
        <w:ind w:left="426"/>
        <w:rPr>
          <w:rFonts w:ascii="Arial" w:hAnsi="Arial" w:cs="Arial"/>
          <w:sz w:val="18"/>
        </w:rPr>
      </w:pPr>
      <w:r w:rsidRPr="002F3332">
        <w:rPr>
          <w:rFonts w:ascii="Arial" w:hAnsi="Arial" w:cs="Arial"/>
          <w:b/>
          <w:sz w:val="18"/>
        </w:rPr>
        <w:t xml:space="preserve">4.3 </w:t>
      </w:r>
      <w:r w:rsidR="002F3332" w:rsidRPr="002F3332">
        <w:rPr>
          <w:rFonts w:ascii="Arial" w:hAnsi="Arial" w:cs="Arial"/>
          <w:sz w:val="18"/>
        </w:rPr>
        <w:t xml:space="preserve">In clinical practice, is there evidence to treat patients </w:t>
      </w:r>
      <w:r w:rsidR="00B84C29">
        <w:rPr>
          <w:rFonts w:ascii="Arial" w:hAnsi="Arial" w:cs="Arial"/>
          <w:sz w:val="18"/>
        </w:rPr>
        <w:t xml:space="preserve">with brain metastases </w:t>
      </w:r>
      <w:r w:rsidR="002F3332" w:rsidRPr="002F3332">
        <w:rPr>
          <w:rFonts w:ascii="Arial" w:hAnsi="Arial" w:cs="Arial"/>
          <w:sz w:val="18"/>
        </w:rPr>
        <w:t xml:space="preserve">requiring radiation for local symptomatic control, prophylactic cranial irradiation, or whole brain radiation, </w:t>
      </w:r>
      <w:r w:rsidR="00B84C29">
        <w:rPr>
          <w:rFonts w:ascii="Arial" w:hAnsi="Arial" w:cs="Arial"/>
          <w:sz w:val="18"/>
        </w:rPr>
        <w:t xml:space="preserve">at the same time that they are receiving treatment </w:t>
      </w:r>
      <w:r w:rsidR="002F3332" w:rsidRPr="002F3332">
        <w:rPr>
          <w:rFonts w:ascii="Arial" w:hAnsi="Arial" w:cs="Arial"/>
          <w:sz w:val="18"/>
        </w:rPr>
        <w:t>with atezolizumab?</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BE4AA6" w:rsidRPr="002F3332" w14:paraId="5C1336C5" w14:textId="77777777" w:rsidTr="00E671AF">
        <w:trPr>
          <w:trHeight w:val="50"/>
        </w:trPr>
        <w:tc>
          <w:tcPr>
            <w:tcW w:w="10292" w:type="dxa"/>
          </w:tcPr>
          <w:p w14:paraId="7C6C26A3" w14:textId="77777777" w:rsidR="00BE4AA6" w:rsidRPr="002F3332" w:rsidRDefault="00BE4AA6" w:rsidP="00E671AF">
            <w:pPr>
              <w:pStyle w:val="pCODR01AppendixHeader"/>
              <w:spacing w:before="0" w:after="0"/>
              <w:rPr>
                <w:rFonts w:ascii="Arial" w:hAnsi="Arial" w:cs="Arial"/>
                <w:spacing w:val="0"/>
              </w:rPr>
            </w:pPr>
            <w:bookmarkStart w:id="9" w:name="_Appendix_A:_pCODR"/>
            <w:bookmarkStart w:id="10" w:name="_Toc439923603"/>
            <w:bookmarkEnd w:id="9"/>
          </w:p>
        </w:tc>
      </w:tr>
    </w:tbl>
    <w:p w14:paraId="0AE0D783" w14:textId="77777777" w:rsidR="00D8302B" w:rsidRPr="002F3332" w:rsidRDefault="00D8302B" w:rsidP="00FB5292">
      <w:pPr>
        <w:pStyle w:val="pCODR01AppendixHeader"/>
        <w:rPr>
          <w:rFonts w:ascii="Arial" w:hAnsi="Arial" w:cs="Arial"/>
          <w:spacing w:val="0"/>
        </w:rPr>
      </w:pPr>
    </w:p>
    <w:p w14:paraId="37480FF9" w14:textId="77777777" w:rsidR="00D8302B" w:rsidRPr="002F3332" w:rsidRDefault="00D8302B">
      <w:pPr>
        <w:rPr>
          <w:rFonts w:ascii="Arial" w:eastAsia="Times New Roman" w:hAnsi="Arial" w:cs="Arial"/>
          <w:b/>
          <w:kern w:val="28"/>
          <w:sz w:val="28"/>
        </w:rPr>
      </w:pPr>
      <w:r w:rsidRPr="002F3332">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0CC7465A" w14:textId="58998741"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F079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621EE">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621EE">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63E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621EE">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621EE">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03FE8"/>
    <w:multiLevelType w:val="hybridMultilevel"/>
    <w:tmpl w:val="AE52F2EA"/>
    <w:lvl w:ilvl="0" w:tplc="8FF2DB0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AF93C8F"/>
    <w:multiLevelType w:val="hybridMultilevel"/>
    <w:tmpl w:val="14AEA28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DDE2AA9"/>
    <w:multiLevelType w:val="hybridMultilevel"/>
    <w:tmpl w:val="A880D7C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7"/>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8"/>
  </w:num>
  <w:num w:numId="49">
    <w:abstractNumId w:val="35"/>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6EE7"/>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3332"/>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3E7"/>
    <w:rsid w:val="004A4987"/>
    <w:rsid w:val="004A4EF1"/>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6E8"/>
    <w:rsid w:val="00723A67"/>
    <w:rsid w:val="0073015B"/>
    <w:rsid w:val="00737C72"/>
    <w:rsid w:val="007410A2"/>
    <w:rsid w:val="0074540C"/>
    <w:rsid w:val="00751DBE"/>
    <w:rsid w:val="007560CE"/>
    <w:rsid w:val="00760A5F"/>
    <w:rsid w:val="007621EE"/>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2FF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43C"/>
    <w:rsid w:val="00AA1BA7"/>
    <w:rsid w:val="00AA22F5"/>
    <w:rsid w:val="00AA2B46"/>
    <w:rsid w:val="00AA39A7"/>
    <w:rsid w:val="00AA43C6"/>
    <w:rsid w:val="00AA5078"/>
    <w:rsid w:val="00AA5D9D"/>
    <w:rsid w:val="00AB339E"/>
    <w:rsid w:val="00AC2C8E"/>
    <w:rsid w:val="00AC6B9C"/>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84C29"/>
    <w:rsid w:val="00B97638"/>
    <w:rsid w:val="00BA2A8B"/>
    <w:rsid w:val="00BA53DA"/>
    <w:rsid w:val="00BB58A4"/>
    <w:rsid w:val="00BB7634"/>
    <w:rsid w:val="00BC1C1D"/>
    <w:rsid w:val="00BC25DF"/>
    <w:rsid w:val="00BC3B0C"/>
    <w:rsid w:val="00BC3EFC"/>
    <w:rsid w:val="00BC4C1A"/>
    <w:rsid w:val="00BC6BAB"/>
    <w:rsid w:val="00BE3376"/>
    <w:rsid w:val="00BE3696"/>
    <w:rsid w:val="00BE4AA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96E1D"/>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285"/>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4549"/>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n.org/professionals/physician_gls/pdf/scl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ejm.org/doi/full/10.1056/NEJMoa180906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7635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7019-9C32-4463-99AE-A9F8F4D2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2018-08-13T11:52:00Z</dcterms:created>
  <dcterms:modified xsi:type="dcterms:W3CDTF">2019-03-04T18:34:00Z</dcterms:modified>
</cp:coreProperties>
</file>