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47E26C3" w:rsidR="00121EB1" w:rsidRPr="00CB5E8A" w:rsidRDefault="00CB5E8A" w:rsidP="00EB0EEF">
            <w:pPr>
              <w:pStyle w:val="DocumentTitle"/>
              <w:tabs>
                <w:tab w:val="left" w:pos="1074"/>
              </w:tabs>
              <w:spacing w:before="0" w:after="0"/>
              <w:rPr>
                <w:sz w:val="18"/>
                <w:szCs w:val="20"/>
              </w:rPr>
            </w:pPr>
            <w:proofErr w:type="spellStart"/>
            <w:r w:rsidRPr="00CB5E8A">
              <w:rPr>
                <w:sz w:val="18"/>
                <w:szCs w:val="20"/>
              </w:rPr>
              <w:t>pCODR</w:t>
            </w:r>
            <w:proofErr w:type="spellEnd"/>
            <w:r w:rsidRPr="00CB5E8A">
              <w:rPr>
                <w:sz w:val="18"/>
                <w:szCs w:val="20"/>
              </w:rPr>
              <w:t xml:space="preserve"> 10157</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A28E242" w:rsidR="00F369F8" w:rsidRPr="00CB5E8A" w:rsidRDefault="00CB5E8A" w:rsidP="00B073A2">
            <w:pPr>
              <w:pStyle w:val="DocumentTitle"/>
              <w:tabs>
                <w:tab w:val="left" w:pos="1074"/>
              </w:tabs>
              <w:spacing w:before="0" w:after="0"/>
              <w:rPr>
                <w:sz w:val="18"/>
                <w:szCs w:val="20"/>
              </w:rPr>
            </w:pPr>
            <w:proofErr w:type="spellStart"/>
            <w:r w:rsidRPr="00CB5E8A">
              <w:rPr>
                <w:sz w:val="18"/>
                <w:szCs w:val="20"/>
              </w:rPr>
              <w:t>Entrectinib</w:t>
            </w:r>
            <w:proofErr w:type="spellEnd"/>
            <w:r w:rsidR="007961A5" w:rsidRPr="00CB5E8A">
              <w:rPr>
                <w:sz w:val="18"/>
                <w:szCs w:val="20"/>
              </w:rPr>
              <w:t xml:space="preserve"> (</w:t>
            </w:r>
            <w:r w:rsidR="00B073A2" w:rsidRPr="00CB5E8A">
              <w:rPr>
                <w:sz w:val="18"/>
                <w:szCs w:val="20"/>
              </w:rPr>
              <w:t>TBD</w:t>
            </w:r>
            <w:r w:rsidR="007961A5" w:rsidRPr="00CB5E8A">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3507530B" w:rsidR="00F369F8" w:rsidRPr="00CB5E8A" w:rsidRDefault="007961A5" w:rsidP="007961A5">
            <w:pPr>
              <w:pStyle w:val="DocumentTitle"/>
              <w:tabs>
                <w:tab w:val="left" w:pos="1074"/>
              </w:tabs>
              <w:spacing w:before="0" w:after="0"/>
              <w:rPr>
                <w:sz w:val="18"/>
                <w:szCs w:val="20"/>
              </w:rPr>
            </w:pPr>
            <w:r w:rsidRPr="00CB5E8A">
              <w:rPr>
                <w:sz w:val="18"/>
                <w:szCs w:val="20"/>
              </w:rPr>
              <w:t>NTRK Positive Solid Tumours</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2632D75" w:rsidR="00F81D31" w:rsidRPr="008307ED" w:rsidRDefault="00CB5E8A" w:rsidP="00CB5E8A">
            <w:pPr>
              <w:pStyle w:val="DocumentTitle"/>
              <w:tabs>
                <w:tab w:val="left" w:pos="1074"/>
              </w:tabs>
              <w:spacing w:after="0"/>
              <w:rPr>
                <w:sz w:val="18"/>
                <w:szCs w:val="20"/>
              </w:rPr>
            </w:pPr>
            <w:r w:rsidRPr="008307ED">
              <w:rPr>
                <w:sz w:val="18"/>
                <w:szCs w:val="20"/>
              </w:rPr>
              <w:t>As monotherapy for the treatment of NTRK fusion-positive, locally advanced or metastatic solid tumors in adult and pediatric patients.</w:t>
            </w:r>
          </w:p>
        </w:tc>
      </w:tr>
      <w:tr w:rsidR="00F369F8" w:rsidRPr="00CE796A"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0F23A483" w14:textId="77777777" w:rsidR="008307ED" w:rsidRPr="008307ED" w:rsidRDefault="008307ED" w:rsidP="008307ED">
            <w:pPr>
              <w:pStyle w:val="DocumentTitle"/>
              <w:numPr>
                <w:ilvl w:val="0"/>
                <w:numId w:val="44"/>
              </w:numPr>
              <w:tabs>
                <w:tab w:val="left" w:pos="1074"/>
              </w:tabs>
              <w:spacing w:before="0" w:after="0"/>
              <w:rPr>
                <w:sz w:val="18"/>
                <w:szCs w:val="18"/>
              </w:rPr>
            </w:pPr>
            <w:r w:rsidRPr="008307ED">
              <w:rPr>
                <w:rFonts w:eastAsia="Times New Roman"/>
                <w:bCs/>
                <w:color w:val="000000"/>
                <w:sz w:val="18"/>
                <w:szCs w:val="18"/>
                <w:bdr w:val="none" w:sz="0" w:space="0" w:color="auto" w:frame="1"/>
              </w:rPr>
              <w:t>STARTRK-2 (</w:t>
            </w:r>
            <w:hyperlink r:id="rId14" w:tgtFrame="_blank" w:history="1">
              <w:r w:rsidRPr="008307ED">
                <w:rPr>
                  <w:rStyle w:val="Hyperlink"/>
                  <w:rFonts w:eastAsia="Times New Roman"/>
                  <w:bCs/>
                  <w:sz w:val="18"/>
                  <w:szCs w:val="18"/>
                  <w:bdr w:val="none" w:sz="0" w:space="0" w:color="auto" w:frame="1"/>
                </w:rPr>
                <w:t>NCT02568267</w:t>
              </w:r>
            </w:hyperlink>
            <w:r w:rsidRPr="008307ED">
              <w:rPr>
                <w:rFonts w:eastAsia="Times New Roman"/>
                <w:bCs/>
                <w:color w:val="000000"/>
                <w:sz w:val="18"/>
                <w:szCs w:val="18"/>
                <w:bdr w:val="none" w:sz="0" w:space="0" w:color="auto" w:frame="1"/>
              </w:rPr>
              <w:t xml:space="preserve">) and </w:t>
            </w:r>
            <w:r w:rsidRPr="008307ED">
              <w:rPr>
                <w:bCs/>
                <w:color w:val="000000"/>
                <w:sz w:val="18"/>
                <w:szCs w:val="18"/>
                <w:bdr w:val="none" w:sz="0" w:space="0" w:color="auto" w:frame="1"/>
              </w:rPr>
              <w:t>ALKA-372-001 &amp; STARTRK (</w:t>
            </w:r>
            <w:hyperlink r:id="rId15" w:tgtFrame="_blank" w:history="1">
              <w:r w:rsidRPr="008307ED">
                <w:rPr>
                  <w:rStyle w:val="Hyperlink"/>
                  <w:bCs/>
                  <w:sz w:val="18"/>
                  <w:szCs w:val="18"/>
                  <w:bdr w:val="none" w:sz="0" w:space="0" w:color="auto" w:frame="1"/>
                </w:rPr>
                <w:t>NCT02097810</w:t>
              </w:r>
            </w:hyperlink>
            <w:r w:rsidRPr="008307ED">
              <w:rPr>
                <w:bCs/>
                <w:color w:val="000000"/>
                <w:sz w:val="18"/>
                <w:szCs w:val="18"/>
                <w:bdr w:val="none" w:sz="0" w:space="0" w:color="auto" w:frame="1"/>
              </w:rPr>
              <w:t>)</w:t>
            </w:r>
          </w:p>
          <w:p w14:paraId="52AF8FBD" w14:textId="15436579" w:rsidR="008307ED" w:rsidRPr="00CE796A" w:rsidRDefault="00CE796A" w:rsidP="008307ED">
            <w:pPr>
              <w:pStyle w:val="DocumentTitle"/>
              <w:numPr>
                <w:ilvl w:val="0"/>
                <w:numId w:val="44"/>
              </w:numPr>
              <w:tabs>
                <w:tab w:val="left" w:pos="1074"/>
              </w:tabs>
              <w:spacing w:before="0" w:after="0"/>
              <w:rPr>
                <w:sz w:val="18"/>
                <w:szCs w:val="18"/>
                <w:lang w:val="fr-FR"/>
              </w:rPr>
            </w:pPr>
            <w:hyperlink r:id="rId16" w:tgtFrame="_blank" w:history="1">
              <w:proofErr w:type="spellStart"/>
              <w:r w:rsidR="008307ED" w:rsidRPr="00CE796A">
                <w:rPr>
                  <w:rStyle w:val="Hyperlink"/>
                  <w:rFonts w:eastAsia="Times New Roman"/>
                  <w:bCs/>
                  <w:sz w:val="18"/>
                  <w:szCs w:val="18"/>
                  <w:bdr w:val="none" w:sz="0" w:space="0" w:color="auto" w:frame="1"/>
                  <w:lang w:val="fr-FR"/>
                </w:rPr>
                <w:t>Demetri</w:t>
              </w:r>
              <w:proofErr w:type="spellEnd"/>
              <w:r w:rsidR="008307ED" w:rsidRPr="00CE796A">
                <w:rPr>
                  <w:rStyle w:val="Hyperlink"/>
                  <w:rFonts w:eastAsia="Times New Roman"/>
                  <w:bCs/>
                  <w:sz w:val="18"/>
                  <w:szCs w:val="18"/>
                  <w:bdr w:val="none" w:sz="0" w:space="0" w:color="auto" w:frame="1"/>
                  <w:lang w:val="fr-FR"/>
                </w:rPr>
                <w:t xml:space="preserve"> et al, Ann Onc 2018</w:t>
              </w:r>
            </w:hyperlink>
            <w:r w:rsidR="008307ED" w:rsidRPr="00CE796A">
              <w:rPr>
                <w:rFonts w:eastAsia="Times New Roman"/>
                <w:bCs/>
                <w:color w:val="000000"/>
                <w:sz w:val="18"/>
                <w:szCs w:val="18"/>
                <w:bdr w:val="none" w:sz="0" w:space="0" w:color="auto" w:frame="1"/>
                <w:lang w:val="fr-FR"/>
              </w:rPr>
              <w:t xml:space="preserve">; </w:t>
            </w:r>
            <w:hyperlink r:id="rId17" w:tgtFrame="_blank" w:history="1">
              <w:proofErr w:type="spellStart"/>
              <w:r w:rsidR="008307ED" w:rsidRPr="00CE796A">
                <w:rPr>
                  <w:rStyle w:val="Hyperlink"/>
                  <w:rFonts w:eastAsia="Times New Roman"/>
                  <w:bCs/>
                  <w:sz w:val="18"/>
                  <w:szCs w:val="18"/>
                  <w:bdr w:val="none" w:sz="0" w:space="0" w:color="auto" w:frame="1"/>
                  <w:lang w:val="fr-FR"/>
                </w:rPr>
                <w:t>Drilon</w:t>
              </w:r>
              <w:proofErr w:type="spellEnd"/>
              <w:r w:rsidR="008307ED" w:rsidRPr="00CE796A">
                <w:rPr>
                  <w:rStyle w:val="Hyperlink"/>
                  <w:rFonts w:eastAsia="Times New Roman"/>
                  <w:bCs/>
                  <w:sz w:val="18"/>
                  <w:szCs w:val="18"/>
                  <w:bdr w:val="none" w:sz="0" w:space="0" w:color="auto" w:frame="1"/>
                  <w:lang w:val="fr-FR"/>
                </w:rPr>
                <w:t xml:space="preserve"> et al, Cancer </w:t>
              </w:r>
              <w:proofErr w:type="spellStart"/>
              <w:r w:rsidR="008307ED" w:rsidRPr="00CE796A">
                <w:rPr>
                  <w:rStyle w:val="Hyperlink"/>
                  <w:rFonts w:eastAsia="Times New Roman"/>
                  <w:bCs/>
                  <w:sz w:val="18"/>
                  <w:szCs w:val="18"/>
                  <w:bdr w:val="none" w:sz="0" w:space="0" w:color="auto" w:frame="1"/>
                  <w:lang w:val="fr-FR"/>
                </w:rPr>
                <w:t>Discov</w:t>
              </w:r>
              <w:proofErr w:type="spellEnd"/>
              <w:r w:rsidR="008307ED" w:rsidRPr="00CE796A">
                <w:rPr>
                  <w:rStyle w:val="Hyperlink"/>
                  <w:rFonts w:eastAsia="Times New Roman"/>
                  <w:bCs/>
                  <w:sz w:val="18"/>
                  <w:szCs w:val="18"/>
                  <w:bdr w:val="none" w:sz="0" w:space="0" w:color="auto" w:frame="1"/>
                  <w:lang w:val="fr-FR"/>
                </w:rPr>
                <w:t xml:space="preserve"> 2017</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CD1689" w:rsidRDefault="00275E1C" w:rsidP="00EB0EEF">
            <w:pPr>
              <w:pStyle w:val="DocumentTitle"/>
              <w:tabs>
                <w:tab w:val="left" w:pos="1074"/>
              </w:tabs>
              <w:spacing w:before="0" w:after="0"/>
              <w:rPr>
                <w:color w:val="FFFFFF" w:themeColor="background1"/>
                <w:sz w:val="18"/>
                <w:szCs w:val="20"/>
              </w:rPr>
            </w:pPr>
            <w:r w:rsidRPr="00CD1689">
              <w:rPr>
                <w:color w:val="FFFFFF" w:themeColor="background1"/>
                <w:sz w:val="18"/>
                <w:szCs w:val="20"/>
              </w:rPr>
              <w:t xml:space="preserve">Health Canada </w:t>
            </w:r>
            <w:r w:rsidR="00D47251" w:rsidRPr="00CD1689">
              <w:rPr>
                <w:color w:val="FFFFFF" w:themeColor="background1"/>
                <w:sz w:val="18"/>
                <w:szCs w:val="20"/>
              </w:rPr>
              <w:t>S</w:t>
            </w:r>
            <w:r w:rsidRPr="00CD1689">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73E1262E" w:rsidR="00275E1C" w:rsidRPr="00CD1689" w:rsidRDefault="00CD1689" w:rsidP="007961A5">
            <w:pPr>
              <w:pStyle w:val="DocumentTitle"/>
              <w:tabs>
                <w:tab w:val="left" w:pos="1074"/>
              </w:tabs>
              <w:spacing w:before="0" w:after="0"/>
              <w:rPr>
                <w:color w:val="C00000"/>
                <w:sz w:val="18"/>
                <w:szCs w:val="20"/>
              </w:rPr>
            </w:pPr>
            <w:r w:rsidRPr="00CD1689">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4747F6" w:rsidRDefault="00716B05" w:rsidP="00EB0EEF">
            <w:pPr>
              <w:pStyle w:val="DocumentTitle"/>
              <w:tabs>
                <w:tab w:val="left" w:pos="1074"/>
              </w:tabs>
              <w:spacing w:before="0" w:after="0"/>
              <w:rPr>
                <w:color w:val="FFFFFF" w:themeColor="background1"/>
                <w:sz w:val="18"/>
                <w:szCs w:val="20"/>
              </w:rPr>
            </w:pPr>
            <w:r w:rsidRPr="004747F6">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178B087F" w:rsidR="004747F6" w:rsidRPr="004747F6" w:rsidRDefault="00CE796A" w:rsidP="007961A5">
            <w:pPr>
              <w:pStyle w:val="DocumentTitle"/>
              <w:tabs>
                <w:tab w:val="left" w:pos="1074"/>
              </w:tabs>
              <w:spacing w:before="0" w:after="0"/>
              <w:rPr>
                <w:sz w:val="18"/>
                <w:szCs w:val="20"/>
              </w:rPr>
            </w:pPr>
            <w:hyperlink r:id="rId18" w:history="1">
              <w:r w:rsidR="004747F6" w:rsidRPr="004747F6">
                <w:rPr>
                  <w:rStyle w:val="Hyperlink"/>
                  <w:sz w:val="18"/>
                  <w:szCs w:val="20"/>
                </w:rPr>
                <w:t>19 February 2019</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4747F6" w:rsidRDefault="00275E1C" w:rsidP="00EB0EEF">
            <w:pPr>
              <w:pStyle w:val="DocumentTitle"/>
              <w:tabs>
                <w:tab w:val="left" w:pos="1074"/>
              </w:tabs>
              <w:spacing w:before="0" w:after="0"/>
              <w:rPr>
                <w:color w:val="FFFFFF" w:themeColor="background1"/>
                <w:sz w:val="18"/>
                <w:szCs w:val="20"/>
              </w:rPr>
            </w:pPr>
            <w:r w:rsidRPr="004747F6">
              <w:rPr>
                <w:color w:val="FFFFFF" w:themeColor="background1"/>
                <w:sz w:val="18"/>
                <w:szCs w:val="20"/>
              </w:rPr>
              <w:t>E</w:t>
            </w:r>
            <w:r w:rsidR="00647D2C" w:rsidRPr="004747F6">
              <w:rPr>
                <w:color w:val="FFFFFF" w:themeColor="background1"/>
                <w:sz w:val="18"/>
                <w:szCs w:val="20"/>
              </w:rPr>
              <w:t xml:space="preserve">uropean </w:t>
            </w:r>
            <w:r w:rsidRPr="004747F6">
              <w:rPr>
                <w:color w:val="FFFFFF" w:themeColor="background1"/>
                <w:sz w:val="18"/>
                <w:szCs w:val="20"/>
              </w:rPr>
              <w:t>M</w:t>
            </w:r>
            <w:r w:rsidR="00647D2C" w:rsidRPr="004747F6">
              <w:rPr>
                <w:color w:val="FFFFFF" w:themeColor="background1"/>
                <w:sz w:val="18"/>
                <w:szCs w:val="20"/>
              </w:rPr>
              <w:t xml:space="preserve">edicines </w:t>
            </w:r>
            <w:r w:rsidRPr="004747F6">
              <w:rPr>
                <w:color w:val="FFFFFF" w:themeColor="background1"/>
                <w:sz w:val="18"/>
                <w:szCs w:val="20"/>
              </w:rPr>
              <w:t>A</w:t>
            </w:r>
            <w:r w:rsidR="00647D2C" w:rsidRPr="004747F6">
              <w:rPr>
                <w:color w:val="FFFFFF" w:themeColor="background1"/>
                <w:sz w:val="18"/>
                <w:szCs w:val="20"/>
              </w:rPr>
              <w:t>gency</w:t>
            </w:r>
            <w:r w:rsidRPr="004747F6">
              <w:rPr>
                <w:color w:val="FFFFFF" w:themeColor="background1"/>
                <w:sz w:val="18"/>
                <w:szCs w:val="20"/>
              </w:rPr>
              <w:t xml:space="preserve"> </w:t>
            </w:r>
            <w:r w:rsidR="00716B05" w:rsidRPr="004747F6">
              <w:rPr>
                <w:color w:val="FFFFFF" w:themeColor="background1"/>
                <w:sz w:val="18"/>
                <w:szCs w:val="20"/>
              </w:rPr>
              <w:t>S</w:t>
            </w:r>
            <w:r w:rsidRPr="004747F6">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4BD1A603" w:rsidR="004747F6" w:rsidRPr="004747F6" w:rsidRDefault="00CE796A" w:rsidP="00EB0EEF">
            <w:pPr>
              <w:pStyle w:val="DocumentTitle"/>
              <w:tabs>
                <w:tab w:val="left" w:pos="1074"/>
              </w:tabs>
              <w:spacing w:before="0" w:after="0"/>
              <w:rPr>
                <w:color w:val="C00000"/>
                <w:sz w:val="18"/>
                <w:szCs w:val="20"/>
              </w:rPr>
            </w:pPr>
            <w:hyperlink r:id="rId19" w:history="1">
              <w:r w:rsidR="004747F6" w:rsidRPr="004747F6">
                <w:rPr>
                  <w:rStyle w:val="Hyperlink"/>
                  <w:sz w:val="18"/>
                  <w:szCs w:val="20"/>
                </w:rPr>
                <w:t>4 January 2019</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57769E8A"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3D49FA37" w14:textId="6D8AC6BD" w:rsidR="007961A5" w:rsidRPr="004747F6" w:rsidRDefault="007961A5" w:rsidP="00EB0EEF">
            <w:pPr>
              <w:pStyle w:val="DocumentTitle"/>
              <w:tabs>
                <w:tab w:val="left" w:pos="1074"/>
              </w:tabs>
              <w:spacing w:before="0" w:after="0"/>
              <w:rPr>
                <w:sz w:val="18"/>
                <w:szCs w:val="20"/>
              </w:rPr>
            </w:pPr>
            <w:r w:rsidRPr="004747F6">
              <w:rPr>
                <w:sz w:val="18"/>
                <w:szCs w:val="20"/>
              </w:rPr>
              <w:t xml:space="preserve">NCCN Guidelines for: </w:t>
            </w:r>
            <w:hyperlink r:id="rId20" w:history="1">
              <w:r w:rsidRPr="004747F6">
                <w:rPr>
                  <w:rStyle w:val="Hyperlink"/>
                  <w:sz w:val="18"/>
                  <w:szCs w:val="20"/>
                </w:rPr>
                <w:t>Colon</w:t>
              </w:r>
            </w:hyperlink>
            <w:r w:rsidRPr="004747F6">
              <w:rPr>
                <w:sz w:val="18"/>
                <w:szCs w:val="20"/>
              </w:rPr>
              <w:t xml:space="preserve">, </w:t>
            </w:r>
            <w:hyperlink r:id="rId21" w:history="1">
              <w:r w:rsidRPr="004747F6">
                <w:rPr>
                  <w:rStyle w:val="Hyperlink"/>
                  <w:sz w:val="18"/>
                  <w:szCs w:val="20"/>
                </w:rPr>
                <w:t>Head and Neck</w:t>
              </w:r>
            </w:hyperlink>
            <w:r w:rsidRPr="004747F6">
              <w:rPr>
                <w:sz w:val="18"/>
                <w:szCs w:val="20"/>
              </w:rPr>
              <w:t xml:space="preserve">, </w:t>
            </w:r>
            <w:hyperlink r:id="rId22" w:history="1">
              <w:r w:rsidRPr="004747F6">
                <w:rPr>
                  <w:rStyle w:val="Hyperlink"/>
                  <w:sz w:val="18"/>
                  <w:szCs w:val="20"/>
                </w:rPr>
                <w:t>Melanoma</w:t>
              </w:r>
            </w:hyperlink>
            <w:r w:rsidRPr="004747F6">
              <w:rPr>
                <w:sz w:val="18"/>
                <w:szCs w:val="20"/>
              </w:rPr>
              <w:t xml:space="preserve">, </w:t>
            </w:r>
            <w:hyperlink r:id="rId23" w:history="1">
              <w:r w:rsidRPr="004747F6">
                <w:rPr>
                  <w:rStyle w:val="Hyperlink"/>
                  <w:sz w:val="18"/>
                  <w:szCs w:val="20"/>
                </w:rPr>
                <w:t>NSCLC</w:t>
              </w:r>
            </w:hyperlink>
            <w:r w:rsidRPr="004747F6">
              <w:rPr>
                <w:sz w:val="18"/>
                <w:szCs w:val="20"/>
              </w:rPr>
              <w:t xml:space="preserve">, </w:t>
            </w:r>
            <w:hyperlink r:id="rId24" w:history="1">
              <w:r w:rsidRPr="004747F6">
                <w:rPr>
                  <w:rStyle w:val="Hyperlink"/>
                  <w:sz w:val="18"/>
                  <w:szCs w:val="20"/>
                </w:rPr>
                <w:t>Thyroid</w:t>
              </w:r>
            </w:hyperlink>
            <w:r w:rsidRPr="004747F6">
              <w:rPr>
                <w:sz w:val="18"/>
                <w:szCs w:val="20"/>
              </w:rPr>
              <w:t xml:space="preserve">, </w:t>
            </w:r>
            <w:hyperlink r:id="rId25" w:history="1">
              <w:r w:rsidRPr="004747F6">
                <w:rPr>
                  <w:rStyle w:val="Hyperlink"/>
                  <w:sz w:val="18"/>
                  <w:szCs w:val="20"/>
                </w:rPr>
                <w:t>Sarcoma</w:t>
              </w:r>
            </w:hyperlink>
            <w:r w:rsidRPr="004747F6">
              <w:rPr>
                <w:sz w:val="18"/>
                <w:szCs w:val="20"/>
              </w:rPr>
              <w:t xml:space="preserve">, </w:t>
            </w:r>
            <w:hyperlink r:id="rId26" w:history="1">
              <w:r w:rsidRPr="004747F6">
                <w:rPr>
                  <w:rStyle w:val="Hyperlink"/>
                  <w:sz w:val="18"/>
                  <w:szCs w:val="20"/>
                </w:rPr>
                <w:t>Breast</w:t>
              </w:r>
            </w:hyperlink>
            <w:r w:rsidRPr="004747F6">
              <w:rPr>
                <w:sz w:val="18"/>
                <w:szCs w:val="20"/>
              </w:rPr>
              <w:t xml:space="preserve">, </w:t>
            </w:r>
            <w:hyperlink r:id="rId27" w:history="1">
              <w:r w:rsidRPr="004747F6">
                <w:rPr>
                  <w:rStyle w:val="Hyperlink"/>
                  <w:sz w:val="18"/>
                  <w:szCs w:val="20"/>
                </w:rPr>
                <w:t>Pancreatic</w:t>
              </w:r>
            </w:hyperlink>
            <w:r w:rsidRPr="004747F6">
              <w:rPr>
                <w:sz w:val="18"/>
                <w:szCs w:val="20"/>
              </w:rPr>
              <w:t xml:space="preserve">, and </w:t>
            </w:r>
            <w:hyperlink r:id="rId28" w:history="1">
              <w:r w:rsidRPr="004747F6">
                <w:rPr>
                  <w:rStyle w:val="Hyperlink"/>
                  <w:sz w:val="18"/>
                  <w:szCs w:val="20"/>
                </w:rPr>
                <w:t>Hepatobiliary</w:t>
              </w:r>
            </w:hyperlink>
          </w:p>
          <w:p w14:paraId="5A10E5D9" w14:textId="77777777" w:rsidR="007961A5" w:rsidRPr="004747F6" w:rsidRDefault="007961A5" w:rsidP="00EB0EEF">
            <w:pPr>
              <w:pStyle w:val="DocumentTitle"/>
              <w:tabs>
                <w:tab w:val="left" w:pos="1074"/>
              </w:tabs>
              <w:spacing w:before="0" w:after="0"/>
              <w:rPr>
                <w:color w:val="C00000"/>
                <w:sz w:val="18"/>
                <w:szCs w:val="20"/>
              </w:rPr>
            </w:pPr>
          </w:p>
          <w:p w14:paraId="7FF72210" w14:textId="0527E3E3" w:rsidR="007961A5" w:rsidRPr="004747F6" w:rsidRDefault="007961A5" w:rsidP="00EB0EEF">
            <w:pPr>
              <w:pStyle w:val="DocumentTitle"/>
              <w:tabs>
                <w:tab w:val="left" w:pos="1074"/>
              </w:tabs>
              <w:spacing w:before="0" w:after="0"/>
              <w:rPr>
                <w:sz w:val="18"/>
                <w:szCs w:val="20"/>
              </w:rPr>
            </w:pPr>
            <w:r w:rsidRPr="004747F6">
              <w:rPr>
                <w:sz w:val="18"/>
                <w:szCs w:val="20"/>
              </w:rPr>
              <w:t xml:space="preserve">ASCO Guidelines for: </w:t>
            </w:r>
            <w:hyperlink r:id="rId29" w:history="1">
              <w:r w:rsidRPr="004747F6">
                <w:rPr>
                  <w:rStyle w:val="Hyperlink"/>
                  <w:sz w:val="18"/>
                  <w:szCs w:val="20"/>
                </w:rPr>
                <w:t>Breast Cancer</w:t>
              </w:r>
            </w:hyperlink>
            <w:r w:rsidRPr="004747F6">
              <w:rPr>
                <w:sz w:val="18"/>
                <w:szCs w:val="20"/>
              </w:rPr>
              <w:t xml:space="preserve">, </w:t>
            </w:r>
            <w:hyperlink r:id="rId30" w:history="1">
              <w:r w:rsidRPr="004747F6">
                <w:rPr>
                  <w:rStyle w:val="Hyperlink"/>
                  <w:sz w:val="18"/>
                  <w:szCs w:val="20"/>
                </w:rPr>
                <w:t>Colorectal Cancer</w:t>
              </w:r>
            </w:hyperlink>
            <w:r w:rsidRPr="004747F6">
              <w:rPr>
                <w:sz w:val="18"/>
                <w:szCs w:val="20"/>
              </w:rPr>
              <w:t xml:space="preserve">, </w:t>
            </w:r>
            <w:hyperlink r:id="rId31" w:history="1">
              <w:r w:rsidRPr="004747F6">
                <w:rPr>
                  <w:rStyle w:val="Hyperlink"/>
                  <w:sz w:val="18"/>
                  <w:szCs w:val="20"/>
                </w:rPr>
                <w:t>Lung Cancer</w:t>
              </w:r>
            </w:hyperlink>
            <w:r w:rsidRPr="004747F6">
              <w:rPr>
                <w:sz w:val="18"/>
                <w:szCs w:val="20"/>
              </w:rPr>
              <w:t xml:space="preserve">, </w:t>
            </w:r>
            <w:hyperlink r:id="rId32" w:history="1">
              <w:r w:rsidRPr="004747F6">
                <w:rPr>
                  <w:rStyle w:val="Hyperlink"/>
                  <w:sz w:val="18"/>
                  <w:szCs w:val="20"/>
                </w:rPr>
                <w:t>Pancreatic Cancer</w:t>
              </w:r>
            </w:hyperlink>
          </w:p>
          <w:p w14:paraId="46E2C51C" w14:textId="77777777" w:rsidR="007961A5" w:rsidRPr="004747F6" w:rsidRDefault="007961A5" w:rsidP="00EB0EEF">
            <w:pPr>
              <w:pStyle w:val="DocumentTitle"/>
              <w:tabs>
                <w:tab w:val="left" w:pos="1074"/>
              </w:tabs>
              <w:spacing w:before="0" w:after="0"/>
              <w:rPr>
                <w:sz w:val="18"/>
                <w:szCs w:val="20"/>
              </w:rPr>
            </w:pPr>
          </w:p>
          <w:p w14:paraId="17E99E46" w14:textId="5A68967D" w:rsidR="00420EEA" w:rsidRPr="00CB5E8A" w:rsidRDefault="007961A5" w:rsidP="007961A5">
            <w:pPr>
              <w:pStyle w:val="DocumentTitle"/>
              <w:tabs>
                <w:tab w:val="left" w:pos="1074"/>
              </w:tabs>
              <w:spacing w:before="0" w:after="0"/>
              <w:rPr>
                <w:sz w:val="18"/>
                <w:szCs w:val="20"/>
                <w:highlight w:val="yellow"/>
              </w:rPr>
            </w:pPr>
            <w:r w:rsidRPr="004747F6">
              <w:rPr>
                <w:sz w:val="18"/>
                <w:szCs w:val="20"/>
              </w:rPr>
              <w:t xml:space="preserve">ESMO Guidelines for: </w:t>
            </w:r>
            <w:hyperlink r:id="rId33" w:history="1">
              <w:r w:rsidR="006F1A29" w:rsidRPr="004747F6">
                <w:rPr>
                  <w:rStyle w:val="Hyperlink"/>
                  <w:sz w:val="18"/>
                  <w:szCs w:val="20"/>
                </w:rPr>
                <w:t>Soft Tissue and Visceral Sarcomas</w:t>
              </w:r>
            </w:hyperlink>
            <w:r w:rsidR="006F1A29" w:rsidRPr="004747F6">
              <w:rPr>
                <w:sz w:val="18"/>
                <w:szCs w:val="20"/>
              </w:rPr>
              <w:t xml:space="preserve">, </w:t>
            </w:r>
            <w:hyperlink r:id="rId34" w:history="1">
              <w:r w:rsidR="006F1A29" w:rsidRPr="004747F6">
                <w:rPr>
                  <w:rStyle w:val="Hyperlink"/>
                  <w:sz w:val="18"/>
                  <w:szCs w:val="20"/>
                </w:rPr>
                <w:t>Gastrointestinal Stromal Tumours</w:t>
              </w:r>
            </w:hyperlink>
            <w:r w:rsidR="006F1A29" w:rsidRPr="004747F6">
              <w:rPr>
                <w:sz w:val="18"/>
                <w:szCs w:val="20"/>
              </w:rPr>
              <w:t xml:space="preserve">, </w:t>
            </w:r>
            <w:hyperlink r:id="rId35" w:history="1">
              <w:r w:rsidR="006F1A29" w:rsidRPr="004747F6">
                <w:rPr>
                  <w:rStyle w:val="Hyperlink"/>
                  <w:sz w:val="18"/>
                  <w:szCs w:val="20"/>
                </w:rPr>
                <w:t>Thyroid Cancer</w:t>
              </w:r>
            </w:hyperlink>
            <w:r w:rsidR="006F1A29" w:rsidRPr="004747F6">
              <w:rPr>
                <w:sz w:val="18"/>
                <w:szCs w:val="20"/>
              </w:rPr>
              <w:t xml:space="preserve">, </w:t>
            </w:r>
            <w:hyperlink r:id="rId36" w:history="1">
              <w:r w:rsidR="006F1A29" w:rsidRPr="004747F6">
                <w:rPr>
                  <w:rStyle w:val="Hyperlink"/>
                  <w:sz w:val="18"/>
                  <w:szCs w:val="20"/>
                </w:rPr>
                <w:t>Cutaneous Melanoma</w:t>
              </w:r>
            </w:hyperlink>
            <w:r w:rsidR="006F1A29" w:rsidRPr="004747F6">
              <w:rPr>
                <w:sz w:val="18"/>
                <w:szCs w:val="20"/>
              </w:rPr>
              <w:t xml:space="preserve">, </w:t>
            </w:r>
            <w:hyperlink r:id="rId37" w:history="1">
              <w:r w:rsidR="006F1A29" w:rsidRPr="004747F6">
                <w:rPr>
                  <w:rStyle w:val="Hyperlink"/>
                  <w:sz w:val="18"/>
                  <w:szCs w:val="20"/>
                </w:rPr>
                <w:t>Colorectal Cancer</w:t>
              </w:r>
            </w:hyperlink>
            <w:r w:rsidR="006F1A29" w:rsidRPr="004747F6">
              <w:rPr>
                <w:sz w:val="18"/>
                <w:szCs w:val="20"/>
              </w:rPr>
              <w:t xml:space="preserve">, </w:t>
            </w:r>
            <w:hyperlink r:id="rId38" w:history="1">
              <w:r w:rsidR="006F1A29" w:rsidRPr="004747F6">
                <w:rPr>
                  <w:rStyle w:val="Hyperlink"/>
                  <w:sz w:val="18"/>
                  <w:szCs w:val="20"/>
                </w:rPr>
                <w:t>NSCLC</w:t>
              </w:r>
            </w:hyperlink>
            <w:r w:rsidR="006F1A29" w:rsidRPr="004747F6">
              <w:rPr>
                <w:sz w:val="18"/>
                <w:szCs w:val="20"/>
              </w:rPr>
              <w:t xml:space="preserve">, </w:t>
            </w:r>
            <w:hyperlink r:id="rId39" w:history="1">
              <w:r w:rsidR="006F1A29" w:rsidRPr="004747F6">
                <w:rPr>
                  <w:rStyle w:val="Hyperlink"/>
                  <w:sz w:val="18"/>
                  <w:szCs w:val="20"/>
                </w:rPr>
                <w:t>Cancer of the Pancreas</w:t>
              </w:r>
            </w:hyperlink>
            <w:r w:rsidR="006F1A29" w:rsidRPr="004747F6">
              <w:rPr>
                <w:sz w:val="18"/>
                <w:szCs w:val="20"/>
              </w:rPr>
              <w:t xml:space="preserve">, </w:t>
            </w:r>
            <w:hyperlink r:id="rId40" w:history="1">
              <w:r w:rsidR="006F1A29" w:rsidRPr="004747F6">
                <w:rPr>
                  <w:rStyle w:val="Hyperlink"/>
                  <w:sz w:val="18"/>
                  <w:szCs w:val="20"/>
                </w:rPr>
                <w:t>Biliary Cancer</w:t>
              </w:r>
            </w:hyperlink>
            <w:r w:rsidR="006F1A29" w:rsidRPr="004747F6">
              <w:rPr>
                <w:sz w:val="18"/>
                <w:szCs w:val="20"/>
              </w:rPr>
              <w:t xml:space="preserve">, and </w:t>
            </w:r>
            <w:hyperlink r:id="rId41" w:history="1">
              <w:r w:rsidR="006F1A29" w:rsidRPr="004747F6">
                <w:rPr>
                  <w:rStyle w:val="Hyperlink"/>
                  <w:sz w:val="18"/>
                  <w:szCs w:val="20"/>
                </w:rPr>
                <w:t>Breast Cancer</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63A1EDEA" w:rsidR="00420EEA" w:rsidRPr="00CB5E8A" w:rsidRDefault="004747F6" w:rsidP="001B0ADC">
            <w:pPr>
              <w:pStyle w:val="DocumentTitle"/>
              <w:tabs>
                <w:tab w:val="left" w:pos="1074"/>
              </w:tabs>
              <w:spacing w:before="0" w:after="0"/>
              <w:rPr>
                <w:color w:val="C00000"/>
                <w:sz w:val="18"/>
                <w:szCs w:val="20"/>
                <w:highlight w:val="yellow"/>
              </w:rPr>
            </w:pPr>
            <w:r>
              <w:rPr>
                <w:sz w:val="18"/>
                <w:szCs w:val="20"/>
              </w:rPr>
              <w:t>T</w:t>
            </w:r>
            <w:r w:rsidRPr="004747F6">
              <w:rPr>
                <w:sz w:val="18"/>
                <w:szCs w:val="20"/>
              </w:rPr>
              <w:t xml:space="preserve">here is no standard of care for the treatment of adult and pediatric patients with NTRK fusion-positive, locally advanced or metastatic solid tumours. Treatment is dependent on the specific type of solid </w:t>
            </w:r>
            <w:proofErr w:type="gramStart"/>
            <w:r w:rsidRPr="004747F6">
              <w:rPr>
                <w:sz w:val="18"/>
                <w:szCs w:val="20"/>
              </w:rPr>
              <w:t>tumor,</w:t>
            </w:r>
            <w:proofErr w:type="gramEnd"/>
            <w:r w:rsidRPr="004747F6">
              <w:rPr>
                <w:sz w:val="18"/>
                <w:szCs w:val="20"/>
              </w:rPr>
              <w:t xml:space="preserve"> clinical trials may be offered to patients harboring a NTRK gene fusion. For patients who have progressed on all available treatment options, best supportive care would be available.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CE796A"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3200959A" w14:textId="4CE70C5E" w:rsidR="004747F6" w:rsidRPr="000A56A6" w:rsidRDefault="004747F6" w:rsidP="004747F6">
      <w:pPr>
        <w:pStyle w:val="pCODR11Bullet1stLevel"/>
        <w:numPr>
          <w:ilvl w:val="0"/>
          <w:numId w:val="42"/>
        </w:numPr>
        <w:ind w:left="1260" w:right="864" w:hanging="187"/>
        <w:rPr>
          <w:rFonts w:ascii="Arial" w:hAnsi="Arial" w:cs="Arial"/>
          <w:b/>
          <w:sz w:val="18"/>
          <w:szCs w:val="18"/>
        </w:rPr>
      </w:pPr>
      <w:r w:rsidRPr="000A56A6">
        <w:rPr>
          <w:rFonts w:ascii="Arial" w:hAnsi="Arial" w:cs="Arial"/>
          <w:b/>
          <w:sz w:val="18"/>
        </w:rPr>
        <w:t xml:space="preserve">Implementation </w:t>
      </w:r>
      <w:r w:rsidRPr="000A56A6">
        <w:rPr>
          <w:rFonts w:ascii="Arial" w:hAnsi="Arial" w:cs="Arial"/>
          <w:b/>
          <w:sz w:val="18"/>
          <w:szCs w:val="18"/>
        </w:rPr>
        <w:t xml:space="preserve">Question: </w:t>
      </w:r>
      <w:r w:rsidR="00CE796A">
        <w:rPr>
          <w:rFonts w:ascii="Arial" w:hAnsi="Arial" w:cs="Arial"/>
          <w:b/>
          <w:sz w:val="18"/>
          <w:szCs w:val="18"/>
        </w:rPr>
        <w:t>P</w:t>
      </w:r>
      <w:r w:rsidRPr="000A56A6">
        <w:rPr>
          <w:rFonts w:ascii="Arial" w:hAnsi="Arial" w:cs="Arial"/>
          <w:b/>
          <w:sz w:val="18"/>
          <w:szCs w:val="18"/>
        </w:rPr>
        <w:t xml:space="preserve">lease consider the optimal sequencing of </w:t>
      </w:r>
      <w:proofErr w:type="spellStart"/>
      <w:r w:rsidRPr="000A56A6">
        <w:rPr>
          <w:rFonts w:ascii="Arial" w:hAnsi="Arial" w:cs="Arial"/>
          <w:b/>
          <w:sz w:val="18"/>
          <w:szCs w:val="18"/>
        </w:rPr>
        <w:t>entrectinib</w:t>
      </w:r>
      <w:proofErr w:type="spellEnd"/>
      <w:r w:rsidRPr="000A56A6">
        <w:rPr>
          <w:rFonts w:ascii="Arial" w:hAnsi="Arial" w:cs="Arial"/>
          <w:b/>
          <w:sz w:val="18"/>
          <w:szCs w:val="18"/>
        </w:rPr>
        <w:t xml:space="preserve"> with other treatment options (i.e., first-line or after all other treatment options are exhausted), for the treatment of NTRK fusion-positive, locally advanced or metastatic solid tumors: </w:t>
      </w:r>
    </w:p>
    <w:p w14:paraId="38547C8B" w14:textId="77777777" w:rsidR="004747F6" w:rsidRPr="000A56A6" w:rsidRDefault="004747F6" w:rsidP="004747F6">
      <w:pPr>
        <w:pStyle w:val="pCODR11Bullet1stLevel"/>
        <w:numPr>
          <w:ilvl w:val="1"/>
          <w:numId w:val="42"/>
        </w:numPr>
        <w:ind w:right="864"/>
        <w:rPr>
          <w:rFonts w:ascii="Arial" w:hAnsi="Arial" w:cs="Arial"/>
          <w:b/>
          <w:sz w:val="18"/>
          <w:szCs w:val="18"/>
        </w:rPr>
      </w:pPr>
      <w:r w:rsidRPr="000A56A6">
        <w:rPr>
          <w:rFonts w:ascii="Arial" w:hAnsi="Arial" w:cs="Arial"/>
          <w:b/>
          <w:sz w:val="18"/>
          <w:szCs w:val="18"/>
        </w:rPr>
        <w:t xml:space="preserve">In clinical practice, if </w:t>
      </w:r>
      <w:proofErr w:type="spellStart"/>
      <w:r w:rsidRPr="000A56A6">
        <w:rPr>
          <w:rFonts w:ascii="Arial" w:hAnsi="Arial" w:cs="Arial"/>
          <w:b/>
          <w:sz w:val="18"/>
          <w:szCs w:val="18"/>
        </w:rPr>
        <w:t>entrectinib</w:t>
      </w:r>
      <w:proofErr w:type="spellEnd"/>
      <w:r w:rsidRPr="000A56A6">
        <w:rPr>
          <w:rFonts w:ascii="Arial" w:hAnsi="Arial" w:cs="Arial"/>
          <w:b/>
          <w:sz w:val="18"/>
          <w:szCs w:val="18"/>
        </w:rPr>
        <w:t xml:space="preserve"> was available, would your preference be to use </w:t>
      </w:r>
      <w:proofErr w:type="spellStart"/>
      <w:r w:rsidRPr="000A56A6">
        <w:rPr>
          <w:rFonts w:ascii="Arial" w:hAnsi="Arial" w:cs="Arial"/>
          <w:b/>
          <w:sz w:val="18"/>
          <w:szCs w:val="18"/>
        </w:rPr>
        <w:t>entrectinib</w:t>
      </w:r>
      <w:proofErr w:type="spellEnd"/>
      <w:r w:rsidRPr="000A56A6">
        <w:rPr>
          <w:rFonts w:ascii="Arial" w:hAnsi="Arial" w:cs="Arial"/>
          <w:b/>
          <w:sz w:val="18"/>
          <w:szCs w:val="18"/>
        </w:rPr>
        <w:t xml:space="preserve"> in the first-line setting or reserve </w:t>
      </w:r>
      <w:proofErr w:type="spellStart"/>
      <w:r w:rsidRPr="000A56A6">
        <w:rPr>
          <w:rFonts w:ascii="Arial" w:hAnsi="Arial" w:cs="Arial"/>
          <w:b/>
          <w:sz w:val="18"/>
          <w:szCs w:val="18"/>
        </w:rPr>
        <w:t>entrectinib</w:t>
      </w:r>
      <w:proofErr w:type="spellEnd"/>
      <w:r w:rsidRPr="000A56A6">
        <w:rPr>
          <w:rFonts w:ascii="Arial" w:hAnsi="Arial" w:cs="Arial"/>
          <w:b/>
          <w:sz w:val="18"/>
          <w:szCs w:val="18"/>
        </w:rPr>
        <w:t xml:space="preserve"> after all other treatment options are exhausted? </w:t>
      </w:r>
    </w:p>
    <w:p w14:paraId="3DB7948C" w14:textId="77777777" w:rsidR="004747F6" w:rsidRPr="000A56A6" w:rsidRDefault="004747F6" w:rsidP="004747F6">
      <w:pPr>
        <w:pStyle w:val="pCODR11Bullet1stLevel"/>
        <w:numPr>
          <w:ilvl w:val="1"/>
          <w:numId w:val="42"/>
        </w:numPr>
        <w:ind w:right="864"/>
        <w:rPr>
          <w:rFonts w:ascii="Arial" w:hAnsi="Arial" w:cs="Arial"/>
          <w:b/>
          <w:sz w:val="18"/>
          <w:szCs w:val="18"/>
        </w:rPr>
      </w:pPr>
      <w:proofErr w:type="spellStart"/>
      <w:r w:rsidRPr="000A56A6">
        <w:rPr>
          <w:rFonts w:ascii="Arial" w:hAnsi="Arial" w:cs="Arial"/>
          <w:b/>
          <w:sz w:val="18"/>
          <w:szCs w:val="18"/>
        </w:rPr>
        <w:t>Larotrectinib</w:t>
      </w:r>
      <w:proofErr w:type="spellEnd"/>
      <w:r w:rsidRPr="000A56A6">
        <w:rPr>
          <w:rFonts w:ascii="Arial" w:hAnsi="Arial" w:cs="Arial"/>
          <w:b/>
          <w:sz w:val="18"/>
          <w:szCs w:val="18"/>
        </w:rPr>
        <w:t xml:space="preserve"> is currently under review at </w:t>
      </w:r>
      <w:proofErr w:type="spellStart"/>
      <w:r w:rsidRPr="000A56A6">
        <w:rPr>
          <w:rFonts w:ascii="Arial" w:hAnsi="Arial" w:cs="Arial"/>
          <w:b/>
          <w:sz w:val="18"/>
          <w:szCs w:val="18"/>
        </w:rPr>
        <w:t>pCODR</w:t>
      </w:r>
      <w:proofErr w:type="spellEnd"/>
      <w:r w:rsidRPr="000A56A6">
        <w:rPr>
          <w:rFonts w:ascii="Arial" w:hAnsi="Arial" w:cs="Arial"/>
          <w:b/>
          <w:sz w:val="18"/>
          <w:szCs w:val="18"/>
        </w:rPr>
        <w:t xml:space="preserve"> for the treatment of adult and pediatric patients with locally advanced or metastatic solid tumours harbouring a NTRK gene fusion. In what clinical scenarios would </w:t>
      </w:r>
      <w:proofErr w:type="spellStart"/>
      <w:r w:rsidRPr="000A56A6">
        <w:rPr>
          <w:rFonts w:ascii="Arial" w:hAnsi="Arial" w:cs="Arial"/>
          <w:b/>
          <w:sz w:val="18"/>
          <w:szCs w:val="18"/>
        </w:rPr>
        <w:t>entrectinib</w:t>
      </w:r>
      <w:proofErr w:type="spellEnd"/>
      <w:r w:rsidRPr="000A56A6">
        <w:rPr>
          <w:rFonts w:ascii="Arial" w:hAnsi="Arial" w:cs="Arial"/>
          <w:b/>
          <w:sz w:val="18"/>
          <w:szCs w:val="18"/>
        </w:rPr>
        <w:t xml:space="preserve"> or </w:t>
      </w:r>
      <w:proofErr w:type="spellStart"/>
      <w:r w:rsidRPr="000A56A6">
        <w:rPr>
          <w:rFonts w:ascii="Arial" w:hAnsi="Arial" w:cs="Arial"/>
          <w:b/>
          <w:sz w:val="18"/>
          <w:szCs w:val="18"/>
        </w:rPr>
        <w:t>larotrectinib</w:t>
      </w:r>
      <w:proofErr w:type="spellEnd"/>
      <w:r w:rsidRPr="000A56A6">
        <w:rPr>
          <w:rFonts w:ascii="Arial" w:hAnsi="Arial" w:cs="Arial"/>
          <w:b/>
          <w:sz w:val="18"/>
          <w:szCs w:val="18"/>
        </w:rPr>
        <w:t xml:space="preserve"> be the preferred treatment for adult and pediatric patients with locally advanced or metastatic solid tumors harboring a NTRK gene fusion? Would you consider </w:t>
      </w:r>
      <w:proofErr w:type="spellStart"/>
      <w:r w:rsidRPr="000A56A6">
        <w:rPr>
          <w:rFonts w:ascii="Arial" w:hAnsi="Arial" w:cs="Arial"/>
          <w:b/>
          <w:sz w:val="18"/>
          <w:szCs w:val="18"/>
        </w:rPr>
        <w:t>entrectinib</w:t>
      </w:r>
      <w:proofErr w:type="spellEnd"/>
      <w:r w:rsidRPr="000A56A6">
        <w:rPr>
          <w:rFonts w:ascii="Arial" w:hAnsi="Arial" w:cs="Arial"/>
          <w:b/>
          <w:sz w:val="18"/>
          <w:szCs w:val="18"/>
        </w:rPr>
        <w:t xml:space="preserve"> and </w:t>
      </w:r>
      <w:proofErr w:type="spellStart"/>
      <w:r w:rsidRPr="000A56A6">
        <w:rPr>
          <w:rFonts w:ascii="Arial" w:hAnsi="Arial" w:cs="Arial"/>
          <w:b/>
          <w:sz w:val="18"/>
          <w:szCs w:val="18"/>
        </w:rPr>
        <w:t>larotrectinib</w:t>
      </w:r>
      <w:proofErr w:type="spellEnd"/>
      <w:r w:rsidRPr="000A56A6">
        <w:rPr>
          <w:rFonts w:ascii="Arial" w:hAnsi="Arial" w:cs="Arial"/>
          <w:b/>
          <w:sz w:val="18"/>
          <w:szCs w:val="18"/>
        </w:rPr>
        <w:t xml:space="preserve"> therapeutically equivalent? Please comment on the preference considering patient preference, efficacy, safety, and administration.</w:t>
      </w:r>
    </w:p>
    <w:p w14:paraId="1D2DAFBB" w14:textId="21FC80A5" w:rsidR="004747F6" w:rsidRPr="000A56A6" w:rsidRDefault="004747F6" w:rsidP="009F236F">
      <w:pPr>
        <w:pStyle w:val="pCODR11Bullet1stLevel"/>
        <w:numPr>
          <w:ilvl w:val="1"/>
          <w:numId w:val="42"/>
        </w:numPr>
        <w:ind w:right="864"/>
        <w:rPr>
          <w:rFonts w:ascii="Arial" w:hAnsi="Arial" w:cs="Arial"/>
          <w:b/>
          <w:sz w:val="18"/>
          <w:szCs w:val="18"/>
        </w:rPr>
      </w:pPr>
      <w:r w:rsidRPr="000A56A6">
        <w:rPr>
          <w:rFonts w:ascii="Arial" w:hAnsi="Arial" w:cs="Arial"/>
          <w:b/>
          <w:sz w:val="18"/>
          <w:szCs w:val="18"/>
        </w:rPr>
        <w:t xml:space="preserve">There was a small number of patients who received prior checkpoint inhibitors in the </w:t>
      </w:r>
      <w:r w:rsidR="009F236F" w:rsidRPr="009F236F">
        <w:rPr>
          <w:rFonts w:ascii="Arial" w:hAnsi="Arial" w:cs="Arial"/>
          <w:b/>
          <w:sz w:val="18"/>
          <w:szCs w:val="18"/>
        </w:rPr>
        <w:t>STARTRK-1</w:t>
      </w:r>
      <w:r w:rsidR="009F236F">
        <w:rPr>
          <w:rFonts w:ascii="Arial" w:hAnsi="Arial" w:cs="Arial"/>
          <w:b/>
          <w:sz w:val="18"/>
          <w:szCs w:val="18"/>
        </w:rPr>
        <w:t xml:space="preserve"> </w:t>
      </w:r>
      <w:r w:rsidRPr="000A56A6">
        <w:rPr>
          <w:rFonts w:ascii="Arial" w:hAnsi="Arial" w:cs="Arial"/>
          <w:b/>
          <w:sz w:val="18"/>
          <w:szCs w:val="18"/>
        </w:rPr>
        <w:t>trial, guidance on sequencing with checkpoint inhibitors would be helpful.</w:t>
      </w:r>
    </w:p>
    <w:p w14:paraId="15D52E7F" w14:textId="7D3AE018" w:rsidR="004747F6" w:rsidRPr="000A56A6" w:rsidRDefault="004747F6" w:rsidP="000A56A6">
      <w:pPr>
        <w:pStyle w:val="pCODR11Bullet1stLevel"/>
        <w:numPr>
          <w:ilvl w:val="1"/>
          <w:numId w:val="42"/>
        </w:numPr>
        <w:ind w:right="864"/>
        <w:rPr>
          <w:rFonts w:ascii="Arial" w:hAnsi="Arial" w:cs="Arial"/>
          <w:b/>
          <w:sz w:val="18"/>
          <w:szCs w:val="18"/>
        </w:rPr>
      </w:pPr>
      <w:r w:rsidRPr="000A56A6">
        <w:rPr>
          <w:rFonts w:ascii="Arial" w:hAnsi="Arial" w:cs="Arial"/>
          <w:b/>
          <w:sz w:val="18"/>
          <w:szCs w:val="18"/>
        </w:rPr>
        <w:t>Please comment on whether NTRK, ROS-1, EGFR, and ALK mutations are mutually exclusive. Can a patient present with more than one mutation? If yes, which mutation would you treat first?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2A7A6CD6" w14:textId="570DAF3C" w:rsidR="00B06CDB" w:rsidRDefault="006B2DFA"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p w14:paraId="430868B0" w14:textId="564715EF" w:rsidR="00CE796A" w:rsidRPr="000A56A6" w:rsidRDefault="00CE796A" w:rsidP="000028EA">
      <w:pPr>
        <w:pStyle w:val="pCODR11Bullet1stLevel"/>
        <w:numPr>
          <w:ilvl w:val="0"/>
          <w:numId w:val="42"/>
        </w:numPr>
        <w:spacing w:after="60" w:line="276" w:lineRule="auto"/>
        <w:ind w:left="1260" w:right="864" w:hanging="187"/>
        <w:rPr>
          <w:rFonts w:ascii="Arial" w:hAnsi="Arial" w:cs="Arial"/>
          <w:sz w:val="18"/>
        </w:rPr>
      </w:pPr>
      <w:r w:rsidRPr="00CE796A">
        <w:rPr>
          <w:rFonts w:ascii="Arial" w:hAnsi="Arial" w:cs="Arial"/>
          <w:b/>
          <w:sz w:val="18"/>
        </w:rPr>
        <w:t>Implementation Question: With respect to NTRK gene fusion testing, how are patients currently being tested? Should all adult and pediatric patients with locally advanced or metastatic solid tumors be tested, or specific types of solid tumors? Should testing be available at all cancer centres? When should testing be completed (i.e., at diagnosis or at time of relapse)?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bookmarkStart w:id="7" w:name="_GoBack"/>
            <w:bookmarkEnd w:id="7"/>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114F14F8" w14:textId="58628824" w:rsidR="00434FDC" w:rsidRPr="000A56A6" w:rsidRDefault="00364061" w:rsidP="00CE796A">
      <w:pPr>
        <w:pStyle w:val="pCODR1Body"/>
        <w:spacing w:line="276" w:lineRule="auto"/>
        <w:ind w:left="360"/>
        <w:rPr>
          <w:rFonts w:ascii="Arial" w:hAnsi="Arial" w:cs="Arial"/>
          <w:sz w:val="18"/>
        </w:rPr>
      </w:pPr>
      <w:r w:rsidRPr="000A56A6">
        <w:rPr>
          <w:rFonts w:ascii="Arial" w:hAnsi="Arial" w:cs="Arial"/>
          <w:sz w:val="18"/>
        </w:rPr>
        <w:t xml:space="preserve">We </w:t>
      </w:r>
      <w:r w:rsidR="00852259" w:rsidRPr="000A56A6">
        <w:rPr>
          <w:rFonts w:ascii="Arial" w:hAnsi="Arial" w:cs="Arial"/>
          <w:sz w:val="18"/>
        </w:rPr>
        <w:t xml:space="preserve">are seeking your clinical opinion on the following implementation issues, </w:t>
      </w:r>
      <w:proofErr w:type="gramStart"/>
      <w:r w:rsidR="003B1E52" w:rsidRPr="000A56A6">
        <w:rPr>
          <w:rFonts w:ascii="Arial" w:hAnsi="Arial" w:cs="Arial"/>
          <w:sz w:val="18"/>
        </w:rPr>
        <w:t>if and when</w:t>
      </w:r>
      <w:proofErr w:type="gramEnd"/>
      <w:r w:rsidR="003B1E52" w:rsidRPr="000A56A6">
        <w:rPr>
          <w:rFonts w:ascii="Arial" w:hAnsi="Arial" w:cs="Arial"/>
          <w:sz w:val="18"/>
        </w:rPr>
        <w:t xml:space="preserve"> th</w:t>
      </w:r>
      <w:r w:rsidR="00D65E73" w:rsidRPr="000A56A6">
        <w:rPr>
          <w:rFonts w:ascii="Arial" w:hAnsi="Arial" w:cs="Arial"/>
          <w:sz w:val="18"/>
        </w:rPr>
        <w:t xml:space="preserve">e new treatment </w:t>
      </w:r>
      <w:r w:rsidR="003B1E52" w:rsidRPr="000A56A6">
        <w:rPr>
          <w:rFonts w:ascii="Arial" w:hAnsi="Arial" w:cs="Arial"/>
          <w:sz w:val="18"/>
        </w:rPr>
        <w:t>is reimbursed</w:t>
      </w:r>
      <w:r w:rsidR="00852259" w:rsidRPr="000A56A6">
        <w:rPr>
          <w:rFonts w:ascii="Arial" w:hAnsi="Arial" w:cs="Arial"/>
          <w:sz w:val="18"/>
        </w:rPr>
        <w:t>.</w:t>
      </w:r>
      <w:r w:rsidR="006F03F1" w:rsidRPr="000A56A6">
        <w:rPr>
          <w:rFonts w:ascii="Arial" w:hAnsi="Arial" w:cs="Arial"/>
          <w:sz w:val="18"/>
        </w:rPr>
        <w:t xml:space="preserve"> Your responses would be taken into consideration, among other factors, when </w:t>
      </w:r>
      <w:r w:rsidRPr="000A56A6">
        <w:rPr>
          <w:rFonts w:ascii="Arial" w:hAnsi="Arial" w:cs="Arial"/>
          <w:sz w:val="18"/>
        </w:rPr>
        <w:t xml:space="preserve">Ministries of Health and </w:t>
      </w:r>
      <w:r w:rsidR="006F03F1" w:rsidRPr="000A56A6">
        <w:rPr>
          <w:rFonts w:ascii="Arial" w:hAnsi="Arial" w:cs="Arial"/>
          <w:sz w:val="18"/>
        </w:rPr>
        <w:t>provincial cancer programs make their final funding decisions.</w:t>
      </w:r>
    </w:p>
    <w:p w14:paraId="2F705FED" w14:textId="4BC7AB91" w:rsidR="000A56A6" w:rsidRPr="000A56A6" w:rsidRDefault="00434FDC" w:rsidP="000A56A6">
      <w:pPr>
        <w:pStyle w:val="pCODR1Body"/>
        <w:ind w:left="360"/>
        <w:rPr>
          <w:rFonts w:ascii="Arial" w:hAnsi="Arial" w:cs="Arial"/>
          <w:sz w:val="18"/>
        </w:rPr>
      </w:pPr>
      <w:r w:rsidRPr="000A56A6">
        <w:rPr>
          <w:rFonts w:ascii="Arial" w:hAnsi="Arial" w:cs="Arial"/>
          <w:b/>
          <w:sz w:val="18"/>
        </w:rPr>
        <w:t>4.2.</w:t>
      </w:r>
      <w:r w:rsidRPr="000A56A6">
        <w:rPr>
          <w:rFonts w:ascii="Arial" w:hAnsi="Arial" w:cs="Arial"/>
          <w:sz w:val="18"/>
        </w:rPr>
        <w:t xml:space="preserve"> </w:t>
      </w:r>
      <w:r w:rsidR="000A56A6" w:rsidRPr="000A56A6">
        <w:rPr>
          <w:rFonts w:ascii="Arial" w:hAnsi="Arial" w:cs="Arial"/>
          <w:sz w:val="18"/>
        </w:rPr>
        <w:t>In clinical practice, what definition of clinically meaningful response is used?</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6CDB255B" w14:textId="77777777" w:rsidTr="001902DE">
        <w:tc>
          <w:tcPr>
            <w:tcW w:w="10346" w:type="dxa"/>
          </w:tcPr>
          <w:p w14:paraId="60B3CD62" w14:textId="77777777" w:rsidR="00434FDC" w:rsidRPr="000A56A6" w:rsidRDefault="00434FDC" w:rsidP="001902DE">
            <w:pPr>
              <w:pStyle w:val="pCODR01AppendixHeader"/>
              <w:rPr>
                <w:rFonts w:ascii="Arial" w:hAnsi="Arial" w:cs="Arial"/>
                <w:spacing w:val="0"/>
              </w:rPr>
            </w:pPr>
          </w:p>
        </w:tc>
      </w:tr>
    </w:tbl>
    <w:p w14:paraId="7C076AAF" w14:textId="77777777" w:rsidR="00434FDC" w:rsidRPr="000A56A6" w:rsidRDefault="00434FDC" w:rsidP="00434FDC">
      <w:pPr>
        <w:pStyle w:val="pCODR1Body"/>
        <w:rPr>
          <w:rFonts w:ascii="Arial" w:hAnsi="Arial" w:cs="Arial"/>
          <w:sz w:val="18"/>
        </w:rPr>
      </w:pPr>
    </w:p>
    <w:p w14:paraId="0AE0D783" w14:textId="77777777" w:rsidR="00D8302B" w:rsidRPr="00EB0EEF" w:rsidRDefault="00D8302B" w:rsidP="00FB5292">
      <w:pPr>
        <w:pStyle w:val="pCODR01AppendixHeader"/>
        <w:rPr>
          <w:rFonts w:ascii="Arial" w:hAnsi="Arial" w:cs="Arial"/>
          <w:spacing w:val="0"/>
        </w:rPr>
      </w:pPr>
      <w:bookmarkStart w:id="9" w:name="_Toc439923603"/>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2A06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F236F">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F236F">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4E516"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F236F">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F236F">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425" w:hanging="360"/>
      </w:pPr>
      <w:rPr>
        <w:rFonts w:ascii="Symbol" w:hAnsi="Symbol" w:hint="default"/>
      </w:rPr>
    </w:lvl>
    <w:lvl w:ilvl="1" w:tplc="10090003">
      <w:start w:val="1"/>
      <w:numFmt w:val="bullet"/>
      <w:lvlText w:val="o"/>
      <w:lvlJc w:val="left"/>
      <w:pPr>
        <w:ind w:left="1145" w:hanging="360"/>
      </w:pPr>
      <w:rPr>
        <w:rFonts w:ascii="Courier New" w:hAnsi="Courier New" w:cs="Courier New" w:hint="default"/>
      </w:rPr>
    </w:lvl>
    <w:lvl w:ilvl="2" w:tplc="10090005">
      <w:start w:val="1"/>
      <w:numFmt w:val="bullet"/>
      <w:lvlText w:val=""/>
      <w:lvlJc w:val="left"/>
      <w:pPr>
        <w:ind w:left="1865" w:hanging="360"/>
      </w:pPr>
      <w:rPr>
        <w:rFonts w:ascii="Wingdings" w:hAnsi="Wingdings" w:hint="default"/>
      </w:rPr>
    </w:lvl>
    <w:lvl w:ilvl="3" w:tplc="10090001">
      <w:start w:val="1"/>
      <w:numFmt w:val="bullet"/>
      <w:lvlText w:val=""/>
      <w:lvlJc w:val="left"/>
      <w:pPr>
        <w:ind w:left="2585" w:hanging="360"/>
      </w:pPr>
      <w:rPr>
        <w:rFonts w:ascii="Symbol" w:hAnsi="Symbol" w:hint="default"/>
      </w:rPr>
    </w:lvl>
    <w:lvl w:ilvl="4" w:tplc="10090003" w:tentative="1">
      <w:start w:val="1"/>
      <w:numFmt w:val="bullet"/>
      <w:lvlText w:val="o"/>
      <w:lvlJc w:val="left"/>
      <w:pPr>
        <w:ind w:left="3305" w:hanging="360"/>
      </w:pPr>
      <w:rPr>
        <w:rFonts w:ascii="Courier New" w:hAnsi="Courier New" w:cs="Courier New" w:hint="default"/>
      </w:rPr>
    </w:lvl>
    <w:lvl w:ilvl="5" w:tplc="10090005" w:tentative="1">
      <w:start w:val="1"/>
      <w:numFmt w:val="bullet"/>
      <w:lvlText w:val=""/>
      <w:lvlJc w:val="left"/>
      <w:pPr>
        <w:ind w:left="4025" w:hanging="360"/>
      </w:pPr>
      <w:rPr>
        <w:rFonts w:ascii="Wingdings" w:hAnsi="Wingdings" w:hint="default"/>
      </w:rPr>
    </w:lvl>
    <w:lvl w:ilvl="6" w:tplc="10090001" w:tentative="1">
      <w:start w:val="1"/>
      <w:numFmt w:val="bullet"/>
      <w:lvlText w:val=""/>
      <w:lvlJc w:val="left"/>
      <w:pPr>
        <w:ind w:left="4745" w:hanging="360"/>
      </w:pPr>
      <w:rPr>
        <w:rFonts w:ascii="Symbol" w:hAnsi="Symbol" w:hint="default"/>
      </w:rPr>
    </w:lvl>
    <w:lvl w:ilvl="7" w:tplc="10090003" w:tentative="1">
      <w:start w:val="1"/>
      <w:numFmt w:val="bullet"/>
      <w:lvlText w:val="o"/>
      <w:lvlJc w:val="left"/>
      <w:pPr>
        <w:ind w:left="5465" w:hanging="360"/>
      </w:pPr>
      <w:rPr>
        <w:rFonts w:ascii="Courier New" w:hAnsi="Courier New" w:cs="Courier New" w:hint="default"/>
      </w:rPr>
    </w:lvl>
    <w:lvl w:ilvl="8" w:tplc="10090005" w:tentative="1">
      <w:start w:val="1"/>
      <w:numFmt w:val="bullet"/>
      <w:lvlText w:val=""/>
      <w:lvlJc w:val="left"/>
      <w:pPr>
        <w:ind w:left="6185"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3"/>
  </w:num>
  <w:num w:numId="16">
    <w:abstractNumId w:val="26"/>
  </w:num>
  <w:num w:numId="17">
    <w:abstractNumId w:val="31"/>
  </w:num>
  <w:num w:numId="18">
    <w:abstractNumId w:val="48"/>
  </w:num>
  <w:num w:numId="19">
    <w:abstractNumId w:val="29"/>
  </w:num>
  <w:num w:numId="20">
    <w:abstractNumId w:val="11"/>
  </w:num>
  <w:num w:numId="21">
    <w:abstractNumId w:val="9"/>
  </w:num>
  <w:num w:numId="22">
    <w:abstractNumId w:val="28"/>
  </w:num>
  <w:num w:numId="23">
    <w:abstractNumId w:val="46"/>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5"/>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96A"/>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roche.com/media/releases/med-cor-2019-02-19b.htm" TargetMode="External"/><Relationship Id="rId26" Type="http://schemas.openxmlformats.org/officeDocument/2006/relationships/hyperlink" Target="https://www.nccn.org/professionals/physician_gls/pdf/breast.pdf" TargetMode="External"/><Relationship Id="rId39" Type="http://schemas.openxmlformats.org/officeDocument/2006/relationships/hyperlink" Target="http://esmo.org/Guidelines/Gastrointestinal-Cancers/Cancer-of-the-Pancreas" TargetMode="External"/><Relationship Id="rId3" Type="http://schemas.openxmlformats.org/officeDocument/2006/relationships/styles" Target="styles.xml"/><Relationship Id="rId21" Type="http://schemas.openxmlformats.org/officeDocument/2006/relationships/hyperlink" Target="https://www.nccn.org/professionals/physician_gls/pdf/head-and-neck.pdf" TargetMode="External"/><Relationship Id="rId34" Type="http://schemas.openxmlformats.org/officeDocument/2006/relationships/hyperlink" Target="http://esmo.org/Guidelines/Sarcoma-and-GIST/Gastrointestinal-Stromal-Tumou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bi.nlm.nih.gov/pmc/articles/PMC5380583/pdf/nihms848554.pdf" TargetMode="External"/><Relationship Id="rId25" Type="http://schemas.openxmlformats.org/officeDocument/2006/relationships/hyperlink" Target="https://www.nccn.org/professionals/physician_gls/pdf/sarcoma.pdf" TargetMode="External"/><Relationship Id="rId33" Type="http://schemas.openxmlformats.org/officeDocument/2006/relationships/hyperlink" Target="http://www.esmo.org/Guidelines/Sarcoma-and-GIST/Soft-Tissue-and-Visceral-Sarcomas" TargetMode="External"/><Relationship Id="rId38" Type="http://schemas.openxmlformats.org/officeDocument/2006/relationships/hyperlink" Target="http://esmo.org/Guidelines/Lung-and-Chest-Tumours/Metastatic-Non-Small-Cell-Lung-Cancer" TargetMode="External"/><Relationship Id="rId2" Type="http://schemas.openxmlformats.org/officeDocument/2006/relationships/numbering" Target="numbering.xml"/><Relationship Id="rId16" Type="http://schemas.openxmlformats.org/officeDocument/2006/relationships/hyperlink" Target="https://academic.oup.com/annonc/article/29/suppl_8/mdy424.017/5141583" TargetMode="External"/><Relationship Id="rId20" Type="http://schemas.openxmlformats.org/officeDocument/2006/relationships/hyperlink" Target="https://www.nccn.org/professionals/physician_gls/pdf/colon.pdf" TargetMode="External"/><Relationship Id="rId29" Type="http://schemas.openxmlformats.org/officeDocument/2006/relationships/hyperlink" Target="http://ascopubs.org/doi/pdf/10.1200/JCO.2014.56.7479" TargetMode="External"/><Relationship Id="rId41" Type="http://schemas.openxmlformats.org/officeDocument/2006/relationships/hyperlink" Target="http://esmo.org/Guidelines/Breast-Cancer/3rd-ESO-ESMO-International-Consensus-Guidelines-for-Advanced-Breast-Cancer-AB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ccn.org/professionals/physician_gls/pdf/thyroid.pdf" TargetMode="External"/><Relationship Id="rId32" Type="http://schemas.openxmlformats.org/officeDocument/2006/relationships/hyperlink" Target="http://ascopubs.org/doi/full/10.1200/JCO.2018.78.9636" TargetMode="External"/><Relationship Id="rId37" Type="http://schemas.openxmlformats.org/officeDocument/2006/relationships/hyperlink" Target="http://www.esmo.org/Guidelines/Gastrointestinal-Cancers/Management-of-Patients-with-Metastatic-Colorectal-Cancer" TargetMode="External"/><Relationship Id="rId40" Type="http://schemas.openxmlformats.org/officeDocument/2006/relationships/hyperlink" Target="http://esmo.org/Guidelines/Gastrointestinal-Cancers/Biliary-Cancer" TargetMode="External"/><Relationship Id="rId5" Type="http://schemas.openxmlformats.org/officeDocument/2006/relationships/webSettings" Target="webSettings.xml"/><Relationship Id="rId15" Type="http://schemas.openxmlformats.org/officeDocument/2006/relationships/hyperlink" Target="https://clinicaltrials.gov/ct2/show/NCT02097810" TargetMode="External"/><Relationship Id="rId23" Type="http://schemas.openxmlformats.org/officeDocument/2006/relationships/hyperlink" Target="https://www.nccn.org/professionals/physician_gls/pdf/nscl.pdf" TargetMode="External"/><Relationship Id="rId28" Type="http://schemas.openxmlformats.org/officeDocument/2006/relationships/hyperlink" Target="https://www.nccn.org/professionals/physician_gls/pdf/hepatobiliary.pdf" TargetMode="External"/><Relationship Id="rId36" Type="http://schemas.openxmlformats.org/officeDocument/2006/relationships/hyperlink" Target="http://www.esmo.org/Guidelines/Melanoma/Cutaneous-Melanoma" TargetMode="External"/><Relationship Id="rId10" Type="http://schemas.openxmlformats.org/officeDocument/2006/relationships/header" Target="header1.xml"/><Relationship Id="rId19" Type="http://schemas.openxmlformats.org/officeDocument/2006/relationships/hyperlink" Target="https://www.ema.europa.eu/en/documents/pip-decision/p/0010/2019-ema-decision-4-january-2019-acceptance-modification-agreed-paediatric-investigation-plan_en.pdf" TargetMode="External"/><Relationship Id="rId31" Type="http://schemas.openxmlformats.org/officeDocument/2006/relationships/hyperlink" Target="http://ascopubs.org/doi/full/10.1200/JCO.2015.63.7918"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study/NCT02568267" TargetMode="External"/><Relationship Id="rId22" Type="http://schemas.openxmlformats.org/officeDocument/2006/relationships/hyperlink" Target="https://www.nccn.org/professionals/physician_gls/pdf/melanoma.pdf" TargetMode="External"/><Relationship Id="rId27" Type="http://schemas.openxmlformats.org/officeDocument/2006/relationships/hyperlink" Target="https://www.nccn.org/professionals/physician_gls/pdf/pancreatic.pdf" TargetMode="External"/><Relationship Id="rId30" Type="http://schemas.openxmlformats.org/officeDocument/2006/relationships/hyperlink" Target="http://ascopubs.org/doi/full/10.1200/JCO.2014.58.1322" TargetMode="External"/><Relationship Id="rId35" Type="http://schemas.openxmlformats.org/officeDocument/2006/relationships/hyperlink" Target="http://www.esmo.org/Guidelines/Endocrine-and-Neuroendocrine-Cancers/Thyroid-cance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E8EF-E1A6-4876-B430-7A74D6AC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2019-06-27T20:54:00Z</dcterms:modified>
</cp:coreProperties>
</file>