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2AD4" w14:textId="3E464031" w:rsidR="004C2D93" w:rsidRPr="00323732" w:rsidRDefault="00205435" w:rsidP="004C2D93">
      <w:pPr>
        <w:pStyle w:val="DocumentTitle"/>
        <w:tabs>
          <w:tab w:val="left" w:pos="1074"/>
        </w:tabs>
        <w:spacing w:after="240"/>
        <w:rPr>
          <w:color w:val="595959"/>
          <w:szCs w:val="20"/>
        </w:rPr>
      </w:pPr>
      <w:bookmarkStart w:id="0" w:name="_GoBack"/>
      <w:bookmarkEnd w:id="0"/>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9"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10"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1"/>
          <w:footerReference w:type="default" r:id="rId12"/>
          <w:headerReference w:type="first" r:id="rId13"/>
          <w:footerReference w:type="first" r:id="rId14"/>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2E34C941" w:rsidR="00121EB1" w:rsidRPr="00EB0EEF" w:rsidRDefault="007961A5" w:rsidP="00EB0EEF">
            <w:pPr>
              <w:pStyle w:val="DocumentTitle"/>
              <w:tabs>
                <w:tab w:val="left" w:pos="1074"/>
              </w:tabs>
              <w:spacing w:before="0" w:after="0"/>
              <w:rPr>
                <w:sz w:val="18"/>
                <w:szCs w:val="20"/>
              </w:rPr>
            </w:pPr>
            <w:r>
              <w:rPr>
                <w:sz w:val="18"/>
                <w:szCs w:val="20"/>
              </w:rPr>
              <w:t>pCODR 10159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A304AF9" w:rsidR="00F369F8" w:rsidRPr="00EB0EEF" w:rsidRDefault="007961A5" w:rsidP="00B073A2">
            <w:pPr>
              <w:pStyle w:val="DocumentTitle"/>
              <w:tabs>
                <w:tab w:val="left" w:pos="1074"/>
              </w:tabs>
              <w:spacing w:before="0" w:after="0"/>
              <w:rPr>
                <w:sz w:val="18"/>
                <w:szCs w:val="20"/>
              </w:rPr>
            </w:pPr>
            <w:r w:rsidRPr="007961A5">
              <w:rPr>
                <w:sz w:val="18"/>
                <w:szCs w:val="20"/>
              </w:rPr>
              <w:t>Larotrectinib</w:t>
            </w:r>
            <w:r>
              <w:rPr>
                <w:sz w:val="18"/>
                <w:szCs w:val="20"/>
              </w:rPr>
              <w:t xml:space="preserve"> (</w:t>
            </w:r>
            <w:r w:rsidR="00B073A2">
              <w:rPr>
                <w:sz w:val="18"/>
                <w:szCs w:val="20"/>
              </w:rPr>
              <w:t>TBD</w:t>
            </w:r>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3507530B" w:rsidR="00F369F8" w:rsidRPr="00EB0EEF" w:rsidRDefault="007961A5" w:rsidP="007961A5">
            <w:pPr>
              <w:pStyle w:val="DocumentTitle"/>
              <w:tabs>
                <w:tab w:val="left" w:pos="1074"/>
              </w:tabs>
              <w:spacing w:before="0" w:after="0"/>
              <w:rPr>
                <w:sz w:val="18"/>
                <w:szCs w:val="20"/>
              </w:rPr>
            </w:pPr>
            <w:r>
              <w:rPr>
                <w:sz w:val="18"/>
                <w:szCs w:val="20"/>
              </w:rPr>
              <w:t>NTRK Positive Solid Tumours</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77A5E3F1" w14:textId="77777777" w:rsidR="00F369F8" w:rsidRDefault="00F81D31" w:rsidP="00F81D31">
            <w:pPr>
              <w:pStyle w:val="DocumentTitle"/>
              <w:tabs>
                <w:tab w:val="left" w:pos="1074"/>
              </w:tabs>
              <w:spacing w:before="0" w:after="0"/>
              <w:rPr>
                <w:sz w:val="18"/>
                <w:szCs w:val="20"/>
              </w:rPr>
            </w:pPr>
            <w:r w:rsidRPr="00F81D31">
              <w:rPr>
                <w:sz w:val="18"/>
                <w:szCs w:val="20"/>
              </w:rPr>
              <w:t>For the treatment of adult and pediatric patients with locally advanced or metastatic solid tumours harbouring a Neurotrophic Tyrosine Receptor Kinase (NTRK) gene fusion.</w:t>
            </w:r>
          </w:p>
          <w:p w14:paraId="78DC268C" w14:textId="77777777" w:rsidR="00F81D31" w:rsidRDefault="00F81D31" w:rsidP="00F81D31">
            <w:pPr>
              <w:pStyle w:val="DocumentTitle"/>
              <w:tabs>
                <w:tab w:val="left" w:pos="1074"/>
              </w:tabs>
              <w:spacing w:after="0"/>
              <w:rPr>
                <w:sz w:val="18"/>
                <w:szCs w:val="20"/>
              </w:rPr>
            </w:pPr>
            <w:r>
              <w:rPr>
                <w:sz w:val="18"/>
                <w:szCs w:val="20"/>
              </w:rPr>
              <w:t>Additional criteria:</w:t>
            </w:r>
          </w:p>
          <w:p w14:paraId="5084AA67" w14:textId="77777777" w:rsidR="00F81D31" w:rsidRDefault="00F81D31" w:rsidP="00F81D31">
            <w:pPr>
              <w:pStyle w:val="DocumentTitle"/>
              <w:numPr>
                <w:ilvl w:val="0"/>
                <w:numId w:val="48"/>
              </w:numPr>
              <w:tabs>
                <w:tab w:val="left" w:pos="1074"/>
              </w:tabs>
              <w:spacing w:after="0"/>
              <w:rPr>
                <w:sz w:val="18"/>
                <w:szCs w:val="20"/>
              </w:rPr>
            </w:pPr>
            <w:r w:rsidRPr="00F81D31">
              <w:rPr>
                <w:sz w:val="18"/>
                <w:szCs w:val="20"/>
              </w:rPr>
              <w:t>Age ≥ 1 month</w:t>
            </w:r>
          </w:p>
          <w:p w14:paraId="01AE5AEC" w14:textId="77777777" w:rsidR="00F81D31" w:rsidRDefault="00F81D31" w:rsidP="00F81D31">
            <w:pPr>
              <w:pStyle w:val="DocumentTitle"/>
              <w:numPr>
                <w:ilvl w:val="0"/>
                <w:numId w:val="48"/>
              </w:numPr>
              <w:tabs>
                <w:tab w:val="left" w:pos="1074"/>
              </w:tabs>
              <w:spacing w:after="0"/>
              <w:rPr>
                <w:sz w:val="18"/>
                <w:szCs w:val="20"/>
              </w:rPr>
            </w:pPr>
            <w:r w:rsidRPr="00F81D31">
              <w:rPr>
                <w:sz w:val="18"/>
                <w:szCs w:val="20"/>
              </w:rPr>
              <w:t>ECOG score of ≤3</w:t>
            </w:r>
          </w:p>
          <w:p w14:paraId="476D26B9" w14:textId="77777777" w:rsidR="00F81D31" w:rsidRDefault="00F81D31" w:rsidP="00F81D31">
            <w:pPr>
              <w:pStyle w:val="DocumentTitle"/>
              <w:numPr>
                <w:ilvl w:val="0"/>
                <w:numId w:val="48"/>
              </w:numPr>
              <w:tabs>
                <w:tab w:val="left" w:pos="1074"/>
              </w:tabs>
              <w:spacing w:after="0"/>
              <w:rPr>
                <w:sz w:val="18"/>
                <w:szCs w:val="20"/>
              </w:rPr>
            </w:pPr>
            <w:r w:rsidRPr="00F81D31">
              <w:rPr>
                <w:sz w:val="18"/>
                <w:szCs w:val="20"/>
              </w:rPr>
              <w:t>Tumour harbouring NTRK1, NTRK2 or NTRK3 gene fusion confirmed by a validated diagnostic testing method</w:t>
            </w:r>
          </w:p>
          <w:p w14:paraId="09887E5F" w14:textId="41736C10" w:rsidR="00F81D31" w:rsidRPr="00F81D31" w:rsidRDefault="00F81D31" w:rsidP="00F81D31">
            <w:pPr>
              <w:pStyle w:val="DocumentTitle"/>
              <w:numPr>
                <w:ilvl w:val="0"/>
                <w:numId w:val="48"/>
              </w:numPr>
              <w:tabs>
                <w:tab w:val="left" w:pos="1074"/>
              </w:tabs>
              <w:spacing w:after="0"/>
              <w:rPr>
                <w:sz w:val="18"/>
                <w:szCs w:val="20"/>
              </w:rPr>
            </w:pPr>
            <w:r w:rsidRPr="00F81D31">
              <w:rPr>
                <w:sz w:val="18"/>
                <w:szCs w:val="20"/>
              </w:rPr>
              <w:t>Patients eligible for larotrectinib should have no satisfactory alternative treatments or have progressed following treatment</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BAEA83F" w14:textId="24B4C5BC" w:rsidR="00CC380E" w:rsidRDefault="00717420" w:rsidP="007961A5">
            <w:pPr>
              <w:pStyle w:val="DocumentTitle"/>
              <w:numPr>
                <w:ilvl w:val="0"/>
                <w:numId w:val="44"/>
              </w:numPr>
              <w:tabs>
                <w:tab w:val="left" w:pos="1074"/>
              </w:tabs>
              <w:spacing w:before="0" w:after="0"/>
              <w:rPr>
                <w:sz w:val="18"/>
                <w:szCs w:val="20"/>
              </w:rPr>
            </w:pPr>
            <w:hyperlink r:id="rId15" w:history="1">
              <w:r w:rsidR="007961A5" w:rsidRPr="007961A5">
                <w:rPr>
                  <w:rStyle w:val="Hyperlink"/>
                  <w:sz w:val="18"/>
                  <w:szCs w:val="20"/>
                </w:rPr>
                <w:t>NCT02122913</w:t>
              </w:r>
            </w:hyperlink>
            <w:r w:rsidR="007961A5">
              <w:rPr>
                <w:sz w:val="18"/>
                <w:szCs w:val="20"/>
              </w:rPr>
              <w:t>, SCOUT (</w:t>
            </w:r>
            <w:hyperlink r:id="rId16" w:history="1">
              <w:r w:rsidR="007961A5" w:rsidRPr="007961A5">
                <w:rPr>
                  <w:rStyle w:val="Hyperlink"/>
                  <w:sz w:val="18"/>
                  <w:szCs w:val="20"/>
                </w:rPr>
                <w:t>NCT02637687</w:t>
              </w:r>
            </w:hyperlink>
            <w:r w:rsidR="007961A5">
              <w:rPr>
                <w:sz w:val="18"/>
                <w:szCs w:val="20"/>
              </w:rPr>
              <w:t xml:space="preserve">), and </w:t>
            </w:r>
            <w:r w:rsidR="007961A5" w:rsidRPr="007961A5">
              <w:rPr>
                <w:sz w:val="18"/>
                <w:szCs w:val="20"/>
              </w:rPr>
              <w:t>NAVIGATE</w:t>
            </w:r>
            <w:r w:rsidR="007961A5">
              <w:rPr>
                <w:sz w:val="18"/>
                <w:szCs w:val="20"/>
              </w:rPr>
              <w:t xml:space="preserve"> (</w:t>
            </w:r>
            <w:hyperlink r:id="rId17" w:history="1">
              <w:r w:rsidR="007961A5" w:rsidRPr="007961A5">
                <w:rPr>
                  <w:rStyle w:val="Hyperlink"/>
                  <w:sz w:val="18"/>
                  <w:szCs w:val="20"/>
                </w:rPr>
                <w:t>NCT02576431</w:t>
              </w:r>
            </w:hyperlink>
            <w:r w:rsidR="007961A5">
              <w:rPr>
                <w:sz w:val="18"/>
                <w:szCs w:val="20"/>
              </w:rPr>
              <w:t>)</w:t>
            </w:r>
            <w:r w:rsidR="00F81D31">
              <w:rPr>
                <w:sz w:val="18"/>
                <w:szCs w:val="20"/>
              </w:rPr>
              <w:t xml:space="preserve"> </w:t>
            </w:r>
          </w:p>
          <w:p w14:paraId="52AF8FBD" w14:textId="412C0E6C" w:rsidR="007961A5" w:rsidRPr="007961A5" w:rsidRDefault="00717420" w:rsidP="007961A5">
            <w:pPr>
              <w:pStyle w:val="DocumentTitle"/>
              <w:numPr>
                <w:ilvl w:val="0"/>
                <w:numId w:val="44"/>
              </w:numPr>
              <w:tabs>
                <w:tab w:val="left" w:pos="1074"/>
              </w:tabs>
              <w:spacing w:before="0" w:after="0"/>
              <w:rPr>
                <w:sz w:val="18"/>
                <w:szCs w:val="18"/>
              </w:rPr>
            </w:pPr>
            <w:hyperlink r:id="rId18" w:anchor="%20" w:tgtFrame="_blank" w:history="1">
              <w:r w:rsidR="007961A5" w:rsidRPr="007961A5">
                <w:rPr>
                  <w:rStyle w:val="Hyperlink"/>
                  <w:sz w:val="18"/>
                  <w:szCs w:val="18"/>
                  <w:bdr w:val="none" w:sz="0" w:space="0" w:color="auto" w:frame="1"/>
                  <w:shd w:val="clear" w:color="auto" w:fill="FFFFFF"/>
                </w:rPr>
                <w:t>Laetsch et al., Lancet 2018</w:t>
              </w:r>
            </w:hyperlink>
            <w:r w:rsidR="007961A5" w:rsidRPr="007961A5">
              <w:rPr>
                <w:color w:val="000000"/>
                <w:sz w:val="18"/>
                <w:szCs w:val="18"/>
                <w:shd w:val="clear" w:color="auto" w:fill="FFFFFF"/>
              </w:rPr>
              <w:t>; </w:t>
            </w:r>
            <w:hyperlink r:id="rId19" w:tgtFrame="_blank" w:history="1">
              <w:r w:rsidR="007961A5" w:rsidRPr="007961A5">
                <w:rPr>
                  <w:rStyle w:val="Hyperlink"/>
                  <w:sz w:val="18"/>
                  <w:szCs w:val="18"/>
                  <w:bdr w:val="none" w:sz="0" w:space="0" w:color="auto" w:frame="1"/>
                  <w:shd w:val="clear" w:color="auto" w:fill="FFFFFF"/>
                </w:rPr>
                <w:t>Drilon et al., NEJM 2018</w:t>
              </w:r>
            </w:hyperlink>
            <w:r w:rsidR="00F81D31">
              <w:rPr>
                <w:sz w:val="18"/>
                <w:szCs w:val="20"/>
              </w:rPr>
              <w:t xml:space="preserve">; </w:t>
            </w:r>
            <w:hyperlink r:id="rId20" w:history="1">
              <w:r w:rsidR="00F81D31" w:rsidRPr="00F81D31">
                <w:rPr>
                  <w:rStyle w:val="Hyperlink"/>
                  <w:sz w:val="18"/>
                  <w:szCs w:val="20"/>
                </w:rPr>
                <w:t>Hong et al., Ann Onc 2019</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652F1D" w:rsidR="00275E1C" w:rsidRPr="00EB0EEF" w:rsidRDefault="00275E1C" w:rsidP="007961A5">
            <w:pPr>
              <w:pStyle w:val="DocumentTitle"/>
              <w:tabs>
                <w:tab w:val="left" w:pos="1074"/>
              </w:tabs>
              <w:spacing w:before="0" w:after="0"/>
              <w:rPr>
                <w:color w:val="C00000"/>
                <w:sz w:val="18"/>
                <w:szCs w:val="20"/>
              </w:rPr>
            </w:pPr>
            <w:r w:rsidRPr="007961A5">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5232284A" w14:textId="3519B00E" w:rsidR="00275E1C" w:rsidRPr="00F81D31" w:rsidRDefault="00717420" w:rsidP="007961A5">
            <w:pPr>
              <w:pStyle w:val="DocumentTitle"/>
              <w:tabs>
                <w:tab w:val="left" w:pos="1074"/>
              </w:tabs>
              <w:spacing w:before="0" w:after="0"/>
              <w:rPr>
                <w:sz w:val="18"/>
                <w:szCs w:val="20"/>
              </w:rPr>
            </w:pPr>
            <w:hyperlink r:id="rId21" w:history="1">
              <w:r w:rsidR="00F81D31" w:rsidRPr="00F81D31">
                <w:rPr>
                  <w:rStyle w:val="Hyperlink"/>
                  <w:sz w:val="18"/>
                  <w:szCs w:val="20"/>
                </w:rPr>
                <w:t>November 26, 2018</w:t>
              </w:r>
            </w:hyperlink>
          </w:p>
          <w:p w14:paraId="3F230CF1" w14:textId="77777777" w:rsidR="00F81D31" w:rsidRPr="00F81D31" w:rsidRDefault="00F81D31" w:rsidP="007961A5">
            <w:pPr>
              <w:pStyle w:val="DocumentTitle"/>
              <w:tabs>
                <w:tab w:val="left" w:pos="1074"/>
              </w:tabs>
              <w:spacing w:before="0" w:after="0"/>
              <w:rPr>
                <w:sz w:val="18"/>
                <w:szCs w:val="20"/>
              </w:rPr>
            </w:pPr>
          </w:p>
          <w:p w14:paraId="2EE07483" w14:textId="5017E117" w:rsidR="00F81D31" w:rsidRPr="00EB0EEF" w:rsidRDefault="00F81D31" w:rsidP="007961A5">
            <w:pPr>
              <w:pStyle w:val="DocumentTitle"/>
              <w:tabs>
                <w:tab w:val="left" w:pos="1074"/>
              </w:tabs>
              <w:spacing w:before="0" w:after="0"/>
              <w:rPr>
                <w:color w:val="C00000"/>
                <w:sz w:val="18"/>
                <w:szCs w:val="20"/>
              </w:rPr>
            </w:pPr>
            <w:r w:rsidRPr="00F81D31">
              <w:rPr>
                <w:sz w:val="18"/>
                <w:szCs w:val="20"/>
              </w:rPr>
              <w:t>For adult and pediatric patients with solid tumors that have a neurotrophic receptor tyrosine kinase (NTRK) gene fusion without a known acquired resistance mutation, that are either metastatic or where surgical resection is likely to result in severe morbidity, and who have no satisfactory alternative treatments or whose cancer has progressed following treatment.</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69407DAA"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1ACD3F3C" w:rsidR="00F369F8" w:rsidRPr="00EB0EEF" w:rsidRDefault="00F369F8" w:rsidP="00EB0EEF">
            <w:pPr>
              <w:pStyle w:val="DocumentTitle"/>
              <w:tabs>
                <w:tab w:val="left" w:pos="1074"/>
              </w:tabs>
              <w:spacing w:before="0" w:after="0"/>
              <w:rPr>
                <w:color w:val="C00000"/>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3D49FA37" w14:textId="6D8AC6BD" w:rsidR="007961A5" w:rsidRPr="007961A5" w:rsidRDefault="007961A5" w:rsidP="00EB0EEF">
            <w:pPr>
              <w:pStyle w:val="DocumentTitle"/>
              <w:tabs>
                <w:tab w:val="left" w:pos="1074"/>
              </w:tabs>
              <w:spacing w:before="0" w:after="0"/>
              <w:rPr>
                <w:sz w:val="18"/>
                <w:szCs w:val="20"/>
              </w:rPr>
            </w:pPr>
            <w:r w:rsidRPr="007961A5">
              <w:rPr>
                <w:sz w:val="18"/>
                <w:szCs w:val="20"/>
              </w:rPr>
              <w:t xml:space="preserve">NCCN Guidelines for: </w:t>
            </w:r>
            <w:hyperlink r:id="rId22" w:history="1">
              <w:r w:rsidRPr="007961A5">
                <w:rPr>
                  <w:rStyle w:val="Hyperlink"/>
                  <w:sz w:val="18"/>
                  <w:szCs w:val="20"/>
                </w:rPr>
                <w:t>Colon</w:t>
              </w:r>
            </w:hyperlink>
            <w:r w:rsidRPr="007961A5">
              <w:rPr>
                <w:sz w:val="18"/>
                <w:szCs w:val="20"/>
              </w:rPr>
              <w:t xml:space="preserve">, </w:t>
            </w:r>
            <w:hyperlink r:id="rId23" w:history="1">
              <w:r w:rsidRPr="007961A5">
                <w:rPr>
                  <w:rStyle w:val="Hyperlink"/>
                  <w:sz w:val="18"/>
                  <w:szCs w:val="20"/>
                </w:rPr>
                <w:t>Head and Neck</w:t>
              </w:r>
            </w:hyperlink>
            <w:r w:rsidRPr="007961A5">
              <w:rPr>
                <w:sz w:val="18"/>
                <w:szCs w:val="20"/>
              </w:rPr>
              <w:t xml:space="preserve">, </w:t>
            </w:r>
            <w:hyperlink r:id="rId24" w:history="1">
              <w:r w:rsidRPr="007961A5">
                <w:rPr>
                  <w:rStyle w:val="Hyperlink"/>
                  <w:sz w:val="18"/>
                  <w:szCs w:val="20"/>
                </w:rPr>
                <w:t>Melanoma</w:t>
              </w:r>
            </w:hyperlink>
            <w:r w:rsidRPr="007961A5">
              <w:rPr>
                <w:sz w:val="18"/>
                <w:szCs w:val="20"/>
              </w:rPr>
              <w:t xml:space="preserve">, </w:t>
            </w:r>
            <w:hyperlink r:id="rId25" w:history="1">
              <w:r w:rsidRPr="007961A5">
                <w:rPr>
                  <w:rStyle w:val="Hyperlink"/>
                  <w:sz w:val="18"/>
                  <w:szCs w:val="20"/>
                </w:rPr>
                <w:t>NSCLC</w:t>
              </w:r>
            </w:hyperlink>
            <w:r w:rsidRPr="007961A5">
              <w:rPr>
                <w:sz w:val="18"/>
                <w:szCs w:val="20"/>
              </w:rPr>
              <w:t xml:space="preserve">, </w:t>
            </w:r>
            <w:hyperlink r:id="rId26" w:history="1">
              <w:r w:rsidRPr="007961A5">
                <w:rPr>
                  <w:rStyle w:val="Hyperlink"/>
                  <w:sz w:val="18"/>
                  <w:szCs w:val="20"/>
                </w:rPr>
                <w:t>Thyroid</w:t>
              </w:r>
            </w:hyperlink>
            <w:r w:rsidRPr="007961A5">
              <w:rPr>
                <w:sz w:val="18"/>
                <w:szCs w:val="20"/>
              </w:rPr>
              <w:t xml:space="preserve">, </w:t>
            </w:r>
            <w:hyperlink r:id="rId27" w:history="1">
              <w:r w:rsidRPr="007961A5">
                <w:rPr>
                  <w:rStyle w:val="Hyperlink"/>
                  <w:sz w:val="18"/>
                  <w:szCs w:val="20"/>
                </w:rPr>
                <w:t>Sarcoma</w:t>
              </w:r>
            </w:hyperlink>
            <w:r w:rsidRPr="007961A5">
              <w:rPr>
                <w:sz w:val="18"/>
                <w:szCs w:val="20"/>
              </w:rPr>
              <w:t xml:space="preserve">, </w:t>
            </w:r>
            <w:hyperlink r:id="rId28" w:history="1">
              <w:r w:rsidRPr="007961A5">
                <w:rPr>
                  <w:rStyle w:val="Hyperlink"/>
                  <w:sz w:val="18"/>
                  <w:szCs w:val="20"/>
                </w:rPr>
                <w:t>Breast</w:t>
              </w:r>
            </w:hyperlink>
            <w:r w:rsidRPr="007961A5">
              <w:rPr>
                <w:sz w:val="18"/>
                <w:szCs w:val="20"/>
              </w:rPr>
              <w:t xml:space="preserve">, </w:t>
            </w:r>
            <w:hyperlink r:id="rId29" w:history="1">
              <w:r w:rsidRPr="007961A5">
                <w:rPr>
                  <w:rStyle w:val="Hyperlink"/>
                  <w:sz w:val="18"/>
                  <w:szCs w:val="20"/>
                </w:rPr>
                <w:t>Pancreatic</w:t>
              </w:r>
            </w:hyperlink>
            <w:r w:rsidRPr="007961A5">
              <w:rPr>
                <w:sz w:val="18"/>
                <w:szCs w:val="20"/>
              </w:rPr>
              <w:t xml:space="preserve">, and </w:t>
            </w:r>
            <w:hyperlink r:id="rId30" w:history="1">
              <w:r w:rsidRPr="007961A5">
                <w:rPr>
                  <w:rStyle w:val="Hyperlink"/>
                  <w:sz w:val="18"/>
                  <w:szCs w:val="20"/>
                </w:rPr>
                <w:t>Hepatobiliary</w:t>
              </w:r>
            </w:hyperlink>
          </w:p>
          <w:p w14:paraId="5A10E5D9" w14:textId="77777777" w:rsidR="007961A5" w:rsidRDefault="007961A5" w:rsidP="00EB0EEF">
            <w:pPr>
              <w:pStyle w:val="DocumentTitle"/>
              <w:tabs>
                <w:tab w:val="left" w:pos="1074"/>
              </w:tabs>
              <w:spacing w:before="0" w:after="0"/>
              <w:rPr>
                <w:color w:val="C00000"/>
                <w:sz w:val="18"/>
                <w:szCs w:val="20"/>
              </w:rPr>
            </w:pPr>
          </w:p>
          <w:p w14:paraId="7FF72210" w14:textId="0527E3E3" w:rsidR="007961A5" w:rsidRPr="007961A5" w:rsidRDefault="007961A5" w:rsidP="00EB0EEF">
            <w:pPr>
              <w:pStyle w:val="DocumentTitle"/>
              <w:tabs>
                <w:tab w:val="left" w:pos="1074"/>
              </w:tabs>
              <w:spacing w:before="0" w:after="0"/>
              <w:rPr>
                <w:sz w:val="18"/>
                <w:szCs w:val="20"/>
              </w:rPr>
            </w:pPr>
            <w:r w:rsidRPr="007961A5">
              <w:rPr>
                <w:sz w:val="18"/>
                <w:szCs w:val="20"/>
              </w:rPr>
              <w:t>ASCO Guidelines for:</w:t>
            </w:r>
            <w:r>
              <w:rPr>
                <w:sz w:val="18"/>
                <w:szCs w:val="20"/>
              </w:rPr>
              <w:t xml:space="preserve"> </w:t>
            </w:r>
            <w:hyperlink r:id="rId31" w:history="1">
              <w:r w:rsidRPr="007961A5">
                <w:rPr>
                  <w:rStyle w:val="Hyperlink"/>
                  <w:sz w:val="18"/>
                  <w:szCs w:val="20"/>
                </w:rPr>
                <w:t>Breast Cancer</w:t>
              </w:r>
            </w:hyperlink>
            <w:r>
              <w:rPr>
                <w:sz w:val="18"/>
                <w:szCs w:val="20"/>
              </w:rPr>
              <w:t xml:space="preserve">, </w:t>
            </w:r>
            <w:hyperlink r:id="rId32" w:history="1">
              <w:r w:rsidRPr="007961A5">
                <w:rPr>
                  <w:rStyle w:val="Hyperlink"/>
                  <w:sz w:val="18"/>
                  <w:szCs w:val="20"/>
                </w:rPr>
                <w:t>Colorectal Cancer</w:t>
              </w:r>
            </w:hyperlink>
            <w:r>
              <w:rPr>
                <w:sz w:val="18"/>
                <w:szCs w:val="20"/>
              </w:rPr>
              <w:t xml:space="preserve">, </w:t>
            </w:r>
            <w:hyperlink r:id="rId33" w:history="1">
              <w:r w:rsidRPr="007961A5">
                <w:rPr>
                  <w:rStyle w:val="Hyperlink"/>
                  <w:sz w:val="18"/>
                  <w:szCs w:val="20"/>
                </w:rPr>
                <w:t>Lung Cancer</w:t>
              </w:r>
            </w:hyperlink>
            <w:r>
              <w:rPr>
                <w:sz w:val="18"/>
                <w:szCs w:val="20"/>
              </w:rPr>
              <w:t xml:space="preserve">, </w:t>
            </w:r>
            <w:hyperlink r:id="rId34" w:history="1">
              <w:r w:rsidRPr="007961A5">
                <w:rPr>
                  <w:rStyle w:val="Hyperlink"/>
                  <w:sz w:val="18"/>
                  <w:szCs w:val="20"/>
                </w:rPr>
                <w:t>Pancreatic Cancer</w:t>
              </w:r>
            </w:hyperlink>
          </w:p>
          <w:p w14:paraId="46E2C51C" w14:textId="77777777" w:rsidR="007961A5" w:rsidRPr="007961A5" w:rsidRDefault="007961A5" w:rsidP="00EB0EEF">
            <w:pPr>
              <w:pStyle w:val="DocumentTitle"/>
              <w:tabs>
                <w:tab w:val="left" w:pos="1074"/>
              </w:tabs>
              <w:spacing w:before="0" w:after="0"/>
              <w:rPr>
                <w:sz w:val="18"/>
                <w:szCs w:val="20"/>
              </w:rPr>
            </w:pPr>
          </w:p>
          <w:p w14:paraId="17E99E46" w14:textId="5A68967D" w:rsidR="00420EEA" w:rsidRPr="007961A5" w:rsidRDefault="007961A5" w:rsidP="007961A5">
            <w:pPr>
              <w:pStyle w:val="DocumentTitle"/>
              <w:tabs>
                <w:tab w:val="left" w:pos="1074"/>
              </w:tabs>
              <w:spacing w:before="0" w:after="0"/>
              <w:rPr>
                <w:sz w:val="18"/>
                <w:szCs w:val="20"/>
              </w:rPr>
            </w:pPr>
            <w:r>
              <w:rPr>
                <w:sz w:val="18"/>
                <w:szCs w:val="20"/>
              </w:rPr>
              <w:t xml:space="preserve">ESMO Guidelines for: </w:t>
            </w:r>
            <w:hyperlink r:id="rId35" w:history="1">
              <w:r w:rsidR="006F1A29" w:rsidRPr="006F1A29">
                <w:rPr>
                  <w:rStyle w:val="Hyperlink"/>
                  <w:sz w:val="18"/>
                  <w:szCs w:val="20"/>
                </w:rPr>
                <w:t>Soft Tissue and Visceral Sarcomas</w:t>
              </w:r>
            </w:hyperlink>
            <w:r w:rsidR="006F1A29">
              <w:rPr>
                <w:sz w:val="18"/>
                <w:szCs w:val="20"/>
              </w:rPr>
              <w:t xml:space="preserve">, </w:t>
            </w:r>
            <w:hyperlink r:id="rId36" w:history="1">
              <w:r w:rsidR="006F1A29" w:rsidRPr="006F1A29">
                <w:rPr>
                  <w:rStyle w:val="Hyperlink"/>
                  <w:sz w:val="18"/>
                  <w:szCs w:val="20"/>
                </w:rPr>
                <w:t>Gastrointestinal Stromal Tumours</w:t>
              </w:r>
            </w:hyperlink>
            <w:r w:rsidR="006F1A29">
              <w:rPr>
                <w:sz w:val="18"/>
                <w:szCs w:val="20"/>
              </w:rPr>
              <w:t xml:space="preserve">, </w:t>
            </w:r>
            <w:hyperlink r:id="rId37" w:history="1">
              <w:r w:rsidR="006F1A29" w:rsidRPr="006F1A29">
                <w:rPr>
                  <w:rStyle w:val="Hyperlink"/>
                  <w:sz w:val="18"/>
                  <w:szCs w:val="20"/>
                </w:rPr>
                <w:t>Thyroid Cancer</w:t>
              </w:r>
            </w:hyperlink>
            <w:r w:rsidR="006F1A29">
              <w:rPr>
                <w:sz w:val="18"/>
                <w:szCs w:val="20"/>
              </w:rPr>
              <w:t xml:space="preserve">, </w:t>
            </w:r>
            <w:hyperlink r:id="rId38" w:history="1">
              <w:r w:rsidR="006F1A29" w:rsidRPr="006F1A29">
                <w:rPr>
                  <w:rStyle w:val="Hyperlink"/>
                  <w:sz w:val="18"/>
                  <w:szCs w:val="20"/>
                </w:rPr>
                <w:t>Cutaneous Melanoma</w:t>
              </w:r>
            </w:hyperlink>
            <w:r w:rsidR="006F1A29">
              <w:rPr>
                <w:sz w:val="18"/>
                <w:szCs w:val="20"/>
              </w:rPr>
              <w:t xml:space="preserve">, </w:t>
            </w:r>
            <w:hyperlink r:id="rId39" w:history="1">
              <w:r w:rsidR="006F1A29" w:rsidRPr="006F1A29">
                <w:rPr>
                  <w:rStyle w:val="Hyperlink"/>
                  <w:sz w:val="18"/>
                  <w:szCs w:val="20"/>
                </w:rPr>
                <w:t>Colorectal Cancer</w:t>
              </w:r>
            </w:hyperlink>
            <w:r w:rsidR="006F1A29">
              <w:rPr>
                <w:sz w:val="18"/>
                <w:szCs w:val="20"/>
              </w:rPr>
              <w:t xml:space="preserve">, </w:t>
            </w:r>
            <w:hyperlink r:id="rId40" w:history="1">
              <w:r w:rsidR="006F1A29" w:rsidRPr="006F1A29">
                <w:rPr>
                  <w:rStyle w:val="Hyperlink"/>
                  <w:sz w:val="18"/>
                  <w:szCs w:val="20"/>
                </w:rPr>
                <w:t>NSCLC</w:t>
              </w:r>
            </w:hyperlink>
            <w:r w:rsidR="006F1A29">
              <w:rPr>
                <w:sz w:val="18"/>
                <w:szCs w:val="20"/>
              </w:rPr>
              <w:t xml:space="preserve">, </w:t>
            </w:r>
            <w:hyperlink r:id="rId41" w:history="1">
              <w:r w:rsidR="006F1A29" w:rsidRPr="006F1A29">
                <w:rPr>
                  <w:rStyle w:val="Hyperlink"/>
                  <w:sz w:val="18"/>
                  <w:szCs w:val="20"/>
                </w:rPr>
                <w:t>Cancer of the Pancreas</w:t>
              </w:r>
            </w:hyperlink>
            <w:r w:rsidR="006F1A29">
              <w:rPr>
                <w:sz w:val="18"/>
                <w:szCs w:val="20"/>
              </w:rPr>
              <w:t xml:space="preserve">, </w:t>
            </w:r>
            <w:hyperlink r:id="rId42" w:history="1">
              <w:r w:rsidR="006F1A29" w:rsidRPr="006F1A29">
                <w:rPr>
                  <w:rStyle w:val="Hyperlink"/>
                  <w:sz w:val="18"/>
                  <w:szCs w:val="20"/>
                </w:rPr>
                <w:t>Biliary Cancer</w:t>
              </w:r>
            </w:hyperlink>
            <w:r w:rsidR="006F1A29">
              <w:rPr>
                <w:sz w:val="18"/>
                <w:szCs w:val="20"/>
              </w:rPr>
              <w:t xml:space="preserve">, and </w:t>
            </w:r>
            <w:hyperlink r:id="rId43" w:history="1">
              <w:r w:rsidR="006F1A29" w:rsidRPr="006F1A29">
                <w:rPr>
                  <w:rStyle w:val="Hyperlink"/>
                  <w:sz w:val="18"/>
                  <w:szCs w:val="20"/>
                </w:rPr>
                <w:t>Breast Cancer</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5915A0C4" w:rsidR="00420EEA" w:rsidRPr="00EB0EEF" w:rsidRDefault="001B0ADC" w:rsidP="001B0ADC">
            <w:pPr>
              <w:pStyle w:val="DocumentTitle"/>
              <w:tabs>
                <w:tab w:val="left" w:pos="1074"/>
              </w:tabs>
              <w:spacing w:before="0" w:after="0"/>
              <w:rPr>
                <w:color w:val="C00000"/>
                <w:sz w:val="18"/>
                <w:szCs w:val="20"/>
              </w:rPr>
            </w:pPr>
            <w:r w:rsidRPr="001B0ADC">
              <w:rPr>
                <w:sz w:val="18"/>
                <w:szCs w:val="20"/>
              </w:rPr>
              <w:t>There is no standard of care for the treatment of adult and pediatric patients with locally advanced or metastatic solid tumors harboring a NTRK gene fusion. Treatment is dependent on the speci</w:t>
            </w:r>
            <w:r w:rsidR="005D1506">
              <w:rPr>
                <w:sz w:val="18"/>
                <w:szCs w:val="20"/>
              </w:rPr>
              <w:t>fic type of solid tumor, clinic</w:t>
            </w:r>
            <w:r w:rsidRPr="001B0ADC">
              <w:rPr>
                <w:sz w:val="18"/>
                <w:szCs w:val="20"/>
              </w:rPr>
              <w:t>al trials may be offered to patients harboring a NTRK gene fusion. For patients who have progressed on all available treatment options, best supportive care would be available.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717420"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00F966F4" w14:textId="647FA891" w:rsidR="00B44453" w:rsidRPr="00434FDC" w:rsidRDefault="00364061" w:rsidP="00434FDC">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314ED239" w14:textId="77777777" w:rsidR="00434FDC" w:rsidRDefault="00434FDC" w:rsidP="00434FDC">
      <w:pPr>
        <w:pStyle w:val="pCODR1Body"/>
        <w:ind w:left="360"/>
        <w:rPr>
          <w:rFonts w:ascii="Arial" w:hAnsi="Arial" w:cs="Arial"/>
          <w:sz w:val="18"/>
        </w:rPr>
      </w:pPr>
      <w:r w:rsidRPr="00434FDC">
        <w:rPr>
          <w:rFonts w:ascii="Arial" w:hAnsi="Arial" w:cs="Arial"/>
          <w:b/>
          <w:sz w:val="18"/>
        </w:rPr>
        <w:t>4.1.</w:t>
      </w:r>
      <w:r w:rsidR="00F840DD" w:rsidRPr="00F840DD">
        <w:rPr>
          <w:rFonts w:ascii="Arial" w:hAnsi="Arial" w:cs="Arial"/>
          <w:sz w:val="18"/>
        </w:rPr>
        <w:tab/>
        <w:t xml:space="preserve">In regards to question 3.4 above, please consider the optimal sequencing of larotrectinib with other treatment options for adult and pediatric patients with locally advanced or metastatic solid tumors harboring a NTRK gene fusion. </w:t>
      </w:r>
    </w:p>
    <w:p w14:paraId="147F35BF" w14:textId="3524BD1A" w:rsidR="00F840DD" w:rsidRDefault="00434FDC" w:rsidP="00434FDC">
      <w:pPr>
        <w:pStyle w:val="pCODR1Body"/>
        <w:ind w:left="720"/>
        <w:rPr>
          <w:rFonts w:ascii="Arial" w:hAnsi="Arial" w:cs="Arial"/>
          <w:sz w:val="18"/>
        </w:rPr>
      </w:pPr>
      <w:r>
        <w:rPr>
          <w:rFonts w:ascii="Arial" w:hAnsi="Arial" w:cs="Arial"/>
          <w:b/>
          <w:sz w:val="18"/>
        </w:rPr>
        <w:t xml:space="preserve">4.1.1. </w:t>
      </w:r>
      <w:r w:rsidR="00F840DD" w:rsidRPr="00F840DD">
        <w:rPr>
          <w:rFonts w:ascii="Arial" w:hAnsi="Arial" w:cs="Arial"/>
          <w:sz w:val="18"/>
        </w:rPr>
        <w:t xml:space="preserve">In clinical practice, if larotrectinib was available, would your preference be to use larotrectinib in the first-line setting or reserve larotrectinib after all other treatment options are exhausted? </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14:paraId="73A55436" w14:textId="77777777" w:rsidTr="001902DE">
        <w:tc>
          <w:tcPr>
            <w:tcW w:w="10346" w:type="dxa"/>
          </w:tcPr>
          <w:p w14:paraId="4994FC71" w14:textId="77777777" w:rsidR="00434FDC" w:rsidRDefault="00434FDC" w:rsidP="001902DE">
            <w:pPr>
              <w:pStyle w:val="pCODR01AppendixHeader"/>
              <w:rPr>
                <w:rFonts w:ascii="Arial" w:hAnsi="Arial" w:cs="Arial"/>
                <w:spacing w:val="0"/>
              </w:rPr>
            </w:pPr>
          </w:p>
        </w:tc>
      </w:tr>
    </w:tbl>
    <w:p w14:paraId="114F14F8" w14:textId="77777777" w:rsidR="00434FDC" w:rsidRPr="00F840DD" w:rsidRDefault="00434FDC" w:rsidP="00434FDC">
      <w:pPr>
        <w:pStyle w:val="pCODR1Body"/>
        <w:ind w:left="720"/>
        <w:rPr>
          <w:rFonts w:ascii="Arial" w:hAnsi="Arial" w:cs="Arial"/>
          <w:sz w:val="18"/>
        </w:rPr>
      </w:pPr>
    </w:p>
    <w:p w14:paraId="6F3D8E17" w14:textId="2A53787F" w:rsidR="00F840DD" w:rsidRDefault="00434FDC" w:rsidP="00F840DD">
      <w:pPr>
        <w:pStyle w:val="pCODR1Body"/>
        <w:ind w:left="360"/>
        <w:rPr>
          <w:rFonts w:ascii="Arial" w:hAnsi="Arial" w:cs="Arial"/>
          <w:sz w:val="18"/>
        </w:rPr>
      </w:pPr>
      <w:r w:rsidRPr="00434FDC">
        <w:rPr>
          <w:rFonts w:ascii="Arial" w:hAnsi="Arial" w:cs="Arial"/>
          <w:b/>
          <w:sz w:val="18"/>
        </w:rPr>
        <w:t>4.2.</w:t>
      </w:r>
      <w:r>
        <w:rPr>
          <w:rFonts w:ascii="Arial" w:hAnsi="Arial" w:cs="Arial"/>
          <w:sz w:val="18"/>
        </w:rPr>
        <w:t xml:space="preserve"> </w:t>
      </w:r>
      <w:r w:rsidR="00F840DD" w:rsidRPr="00F840DD">
        <w:rPr>
          <w:rFonts w:ascii="Arial" w:hAnsi="Arial" w:cs="Arial"/>
          <w:sz w:val="18"/>
        </w:rPr>
        <w:t>In what clinical scenarios would larotrectinib be the preferred treatment for adult and pediatric patients with locally advanced or metastatic solid tumors harboring a NTRK gene fusion? Please comment on the preference considering patient preference, efficacy, safety, and administration.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14:paraId="6CDB255B" w14:textId="77777777" w:rsidTr="001902DE">
        <w:tc>
          <w:tcPr>
            <w:tcW w:w="10346" w:type="dxa"/>
          </w:tcPr>
          <w:p w14:paraId="60B3CD62" w14:textId="77777777" w:rsidR="00434FDC" w:rsidRDefault="00434FDC" w:rsidP="001902DE">
            <w:pPr>
              <w:pStyle w:val="pCODR01AppendixHeader"/>
              <w:rPr>
                <w:rFonts w:ascii="Arial" w:hAnsi="Arial" w:cs="Arial"/>
                <w:spacing w:val="0"/>
              </w:rPr>
            </w:pPr>
          </w:p>
        </w:tc>
      </w:tr>
    </w:tbl>
    <w:p w14:paraId="7C076AAF" w14:textId="77777777" w:rsidR="00434FDC" w:rsidRPr="00F840DD" w:rsidRDefault="00434FDC" w:rsidP="00434FDC">
      <w:pPr>
        <w:pStyle w:val="pCODR1Body"/>
        <w:rPr>
          <w:rFonts w:ascii="Arial" w:hAnsi="Arial" w:cs="Arial"/>
          <w:sz w:val="18"/>
        </w:rPr>
      </w:pPr>
    </w:p>
    <w:p w14:paraId="1B9EB5BC" w14:textId="6673E574" w:rsidR="00F840DD" w:rsidRPr="00EB0EEF" w:rsidRDefault="00434FDC" w:rsidP="00F840DD">
      <w:pPr>
        <w:pStyle w:val="pCODR1Body"/>
        <w:ind w:left="360"/>
        <w:rPr>
          <w:rFonts w:ascii="Arial" w:hAnsi="Arial" w:cs="Arial"/>
          <w:sz w:val="18"/>
        </w:rPr>
      </w:pPr>
      <w:r w:rsidRPr="00434FDC">
        <w:rPr>
          <w:rFonts w:ascii="Arial" w:hAnsi="Arial" w:cs="Arial"/>
          <w:b/>
          <w:sz w:val="18"/>
        </w:rPr>
        <w:lastRenderedPageBreak/>
        <w:t>4.3.</w:t>
      </w:r>
      <w:r>
        <w:rPr>
          <w:rFonts w:ascii="Arial" w:hAnsi="Arial" w:cs="Arial"/>
          <w:sz w:val="18"/>
        </w:rPr>
        <w:t xml:space="preserve"> </w:t>
      </w:r>
      <w:r w:rsidR="00F840DD" w:rsidRPr="00F840DD">
        <w:rPr>
          <w:rFonts w:ascii="Arial" w:hAnsi="Arial" w:cs="Arial"/>
          <w:sz w:val="18"/>
        </w:rPr>
        <w:t xml:space="preserve">With respect to NTRK gene fusion testing, how are patients currently being tested? Should all adult and pediatric patients with locally advanced or metastatic solid tumors be tested, or </w:t>
      </w:r>
      <w:r w:rsidR="00D429D4">
        <w:rPr>
          <w:rFonts w:ascii="Arial" w:hAnsi="Arial" w:cs="Arial"/>
          <w:sz w:val="18"/>
        </w:rPr>
        <w:t xml:space="preserve">should testing be limited to patients with </w:t>
      </w:r>
      <w:r w:rsidR="00F840DD" w:rsidRPr="00F840DD">
        <w:rPr>
          <w:rFonts w:ascii="Arial" w:hAnsi="Arial" w:cs="Arial"/>
          <w:sz w:val="18"/>
        </w:rPr>
        <w:t>specific types of solid tumors</w:t>
      </w:r>
      <w:r w:rsidR="00D429D4">
        <w:rPr>
          <w:rFonts w:ascii="Arial" w:hAnsi="Arial" w:cs="Arial"/>
          <w:sz w:val="18"/>
        </w:rPr>
        <w:t xml:space="preserve"> (if so, what types of tumors)</w:t>
      </w:r>
      <w:r w:rsidR="00F840DD" w:rsidRPr="00F840DD">
        <w:rPr>
          <w:rFonts w:ascii="Arial" w:hAnsi="Arial" w:cs="Arial"/>
          <w:sz w:val="18"/>
        </w:rPr>
        <w:t>? Should testing be available at all cancer centres? When should testing be completed (i.e., at diagnosis or at time of relapse)?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14:paraId="4212A5A5" w14:textId="77777777" w:rsidTr="001902DE">
        <w:tc>
          <w:tcPr>
            <w:tcW w:w="10346" w:type="dxa"/>
          </w:tcPr>
          <w:p w14:paraId="2E34FE75" w14:textId="77777777" w:rsidR="00434FDC" w:rsidRDefault="00434FDC" w:rsidP="001902DE">
            <w:pPr>
              <w:pStyle w:val="pCODR01AppendixHeader"/>
              <w:rPr>
                <w:rFonts w:ascii="Arial" w:hAnsi="Arial" w:cs="Arial"/>
                <w:spacing w:val="0"/>
              </w:rPr>
            </w:pPr>
            <w:bookmarkStart w:id="9" w:name="_Appendix_A:_pCODR"/>
            <w:bookmarkStart w:id="10" w:name="_Toc439923603"/>
            <w:bookmarkEnd w:id="9"/>
          </w:p>
        </w:tc>
      </w:tr>
    </w:tbl>
    <w:p w14:paraId="0AE0D783" w14:textId="77777777" w:rsidR="00D8302B" w:rsidRPr="00EB0EEF" w:rsidRDefault="00D8302B" w:rsidP="00FB5292">
      <w:pPr>
        <w:pStyle w:val="pCODR01AppendixHeader"/>
        <w:rPr>
          <w:rFonts w:ascii="Arial" w:hAnsi="Arial" w:cs="Arial"/>
          <w:spacing w:val="0"/>
        </w:rPr>
      </w:pPr>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E6FAC" w14:textId="77777777" w:rsidR="00717420" w:rsidRDefault="00717420" w:rsidP="00CF4FCF">
      <w:pPr>
        <w:spacing w:after="0"/>
      </w:pPr>
      <w:r>
        <w:separator/>
      </w:r>
    </w:p>
  </w:endnote>
  <w:endnote w:type="continuationSeparator" w:id="0">
    <w:p w14:paraId="5A9E13BE" w14:textId="77777777" w:rsidR="00717420" w:rsidRDefault="00717420"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870996"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33180E">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33180E">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CF446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33180E">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33180E">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38F6" w14:textId="77777777" w:rsidR="00717420" w:rsidRDefault="00717420" w:rsidP="00CF4FCF">
      <w:pPr>
        <w:spacing w:after="0"/>
      </w:pPr>
      <w:r>
        <w:separator/>
      </w:r>
    </w:p>
  </w:footnote>
  <w:footnote w:type="continuationSeparator" w:id="0">
    <w:p w14:paraId="76480A5B" w14:textId="77777777" w:rsidR="00717420" w:rsidRDefault="00717420"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6">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7">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FF479D"/>
    <w:multiLevelType w:val="hybridMultilevel"/>
    <w:tmpl w:val="D41E17DC"/>
    <w:lvl w:ilvl="0" w:tplc="10090001">
      <w:start w:val="1"/>
      <w:numFmt w:val="bullet"/>
      <w:lvlText w:val=""/>
      <w:lvlJc w:val="left"/>
      <w:pPr>
        <w:ind w:left="425" w:hanging="360"/>
      </w:pPr>
      <w:rPr>
        <w:rFonts w:ascii="Symbol" w:hAnsi="Symbol" w:hint="default"/>
      </w:rPr>
    </w:lvl>
    <w:lvl w:ilvl="1" w:tplc="10090003">
      <w:start w:val="1"/>
      <w:numFmt w:val="bullet"/>
      <w:lvlText w:val="o"/>
      <w:lvlJc w:val="left"/>
      <w:pPr>
        <w:ind w:left="1145" w:hanging="360"/>
      </w:pPr>
      <w:rPr>
        <w:rFonts w:ascii="Courier New" w:hAnsi="Courier New" w:cs="Courier New" w:hint="default"/>
      </w:rPr>
    </w:lvl>
    <w:lvl w:ilvl="2" w:tplc="10090005">
      <w:start w:val="1"/>
      <w:numFmt w:val="bullet"/>
      <w:lvlText w:val=""/>
      <w:lvlJc w:val="left"/>
      <w:pPr>
        <w:ind w:left="1865" w:hanging="360"/>
      </w:pPr>
      <w:rPr>
        <w:rFonts w:ascii="Wingdings" w:hAnsi="Wingdings" w:hint="default"/>
      </w:rPr>
    </w:lvl>
    <w:lvl w:ilvl="3" w:tplc="10090001">
      <w:start w:val="1"/>
      <w:numFmt w:val="bullet"/>
      <w:lvlText w:val=""/>
      <w:lvlJc w:val="left"/>
      <w:pPr>
        <w:ind w:left="2585" w:hanging="360"/>
      </w:pPr>
      <w:rPr>
        <w:rFonts w:ascii="Symbol" w:hAnsi="Symbol" w:hint="default"/>
      </w:rPr>
    </w:lvl>
    <w:lvl w:ilvl="4" w:tplc="10090003" w:tentative="1">
      <w:start w:val="1"/>
      <w:numFmt w:val="bullet"/>
      <w:lvlText w:val="o"/>
      <w:lvlJc w:val="left"/>
      <w:pPr>
        <w:ind w:left="3305" w:hanging="360"/>
      </w:pPr>
      <w:rPr>
        <w:rFonts w:ascii="Courier New" w:hAnsi="Courier New" w:cs="Courier New" w:hint="default"/>
      </w:rPr>
    </w:lvl>
    <w:lvl w:ilvl="5" w:tplc="10090005" w:tentative="1">
      <w:start w:val="1"/>
      <w:numFmt w:val="bullet"/>
      <w:lvlText w:val=""/>
      <w:lvlJc w:val="left"/>
      <w:pPr>
        <w:ind w:left="4025" w:hanging="360"/>
      </w:pPr>
      <w:rPr>
        <w:rFonts w:ascii="Wingdings" w:hAnsi="Wingdings" w:hint="default"/>
      </w:rPr>
    </w:lvl>
    <w:lvl w:ilvl="6" w:tplc="10090001" w:tentative="1">
      <w:start w:val="1"/>
      <w:numFmt w:val="bullet"/>
      <w:lvlText w:val=""/>
      <w:lvlJc w:val="left"/>
      <w:pPr>
        <w:ind w:left="4745" w:hanging="360"/>
      </w:pPr>
      <w:rPr>
        <w:rFonts w:ascii="Symbol" w:hAnsi="Symbol" w:hint="default"/>
      </w:rPr>
    </w:lvl>
    <w:lvl w:ilvl="7" w:tplc="10090003" w:tentative="1">
      <w:start w:val="1"/>
      <w:numFmt w:val="bullet"/>
      <w:lvlText w:val="o"/>
      <w:lvlJc w:val="left"/>
      <w:pPr>
        <w:ind w:left="5465" w:hanging="360"/>
      </w:pPr>
      <w:rPr>
        <w:rFonts w:ascii="Courier New" w:hAnsi="Courier New" w:cs="Courier New" w:hint="default"/>
      </w:rPr>
    </w:lvl>
    <w:lvl w:ilvl="8" w:tplc="10090005" w:tentative="1">
      <w:start w:val="1"/>
      <w:numFmt w:val="bullet"/>
      <w:lvlText w:val=""/>
      <w:lvlJc w:val="left"/>
      <w:pPr>
        <w:ind w:left="6185" w:hanging="360"/>
      </w:pPr>
      <w:rPr>
        <w:rFonts w:ascii="Wingdings" w:hAnsi="Wingdings" w:hint="default"/>
      </w:rPr>
    </w:lvl>
  </w:abstractNum>
  <w:abstractNum w:abstractNumId="42">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3">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4">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5">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7">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2"/>
  </w:num>
  <w:num w:numId="16">
    <w:abstractNumId w:val="26"/>
  </w:num>
  <w:num w:numId="17">
    <w:abstractNumId w:val="31"/>
  </w:num>
  <w:num w:numId="18">
    <w:abstractNumId w:val="47"/>
  </w:num>
  <w:num w:numId="19">
    <w:abstractNumId w:val="29"/>
  </w:num>
  <w:num w:numId="20">
    <w:abstractNumId w:val="11"/>
  </w:num>
  <w:num w:numId="21">
    <w:abstractNumId w:val="9"/>
  </w:num>
  <w:num w:numId="22">
    <w:abstractNumId w:val="28"/>
  </w:num>
  <w:num w:numId="23">
    <w:abstractNumId w:val="45"/>
  </w:num>
  <w:num w:numId="24">
    <w:abstractNumId w:val="15"/>
  </w:num>
  <w:num w:numId="25">
    <w:abstractNumId w:val="25"/>
  </w:num>
  <w:num w:numId="26">
    <w:abstractNumId w:val="36"/>
  </w:num>
  <w:num w:numId="27">
    <w:abstractNumId w:val="19"/>
  </w:num>
  <w:num w:numId="28">
    <w:abstractNumId w:val="24"/>
  </w:num>
  <w:num w:numId="29">
    <w:abstractNumId w:val="17"/>
  </w:num>
  <w:num w:numId="30">
    <w:abstractNumId w:val="43"/>
  </w:num>
  <w:num w:numId="31">
    <w:abstractNumId w:val="38"/>
  </w:num>
  <w:num w:numId="32">
    <w:abstractNumId w:val="46"/>
    <w:lvlOverride w:ilvl="0">
      <w:startOverride w:val="1"/>
    </w:lvlOverride>
  </w:num>
  <w:num w:numId="33">
    <w:abstractNumId w:val="35"/>
    <w:lvlOverride w:ilvl="0">
      <w:startOverride w:val="1"/>
    </w:lvlOverride>
  </w:num>
  <w:num w:numId="34">
    <w:abstractNumId w:val="37"/>
  </w:num>
  <w:num w:numId="35">
    <w:abstractNumId w:val="23"/>
  </w:num>
  <w:num w:numId="36">
    <w:abstractNumId w:val="22"/>
  </w:num>
  <w:num w:numId="37">
    <w:abstractNumId w:val="21"/>
  </w:num>
  <w:num w:numId="38">
    <w:abstractNumId w:val="12"/>
  </w:num>
  <w:num w:numId="39">
    <w:abstractNumId w:val="44"/>
  </w:num>
  <w:num w:numId="40">
    <w:abstractNumId w:val="16"/>
  </w:num>
  <w:num w:numId="41">
    <w:abstractNumId w:val="39"/>
  </w:num>
  <w:num w:numId="42">
    <w:abstractNumId w:val="18"/>
  </w:num>
  <w:num w:numId="43">
    <w:abstractNumId w:val="34"/>
  </w:num>
  <w:num w:numId="44">
    <w:abstractNumId w:val="41"/>
  </w:num>
  <w:num w:numId="45">
    <w:abstractNumId w:val="20"/>
  </w:num>
  <w:num w:numId="46">
    <w:abstractNumId w:val="13"/>
  </w:num>
  <w:num w:numId="47">
    <w:abstractNumId w:val="32"/>
  </w:num>
  <w:num w:numId="48">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24928"/>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180E"/>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17420"/>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25A2"/>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99"/>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99"/>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thelancet.com/journals/lanonc/article/PIIS1470-2045(18)30119-0/fulltext" TargetMode="External"/><Relationship Id="rId26" Type="http://schemas.openxmlformats.org/officeDocument/2006/relationships/hyperlink" Target="https://www.nccn.org/professionals/physician_gls/pdf/thyroid.pdf" TargetMode="External"/><Relationship Id="rId39" Type="http://schemas.openxmlformats.org/officeDocument/2006/relationships/hyperlink" Target="http://www.esmo.org/Guidelines/Gastrointestinal-Cancers/Management-of-Patients-with-Metastatic-Colorectal-Cancer" TargetMode="External"/><Relationship Id="rId3" Type="http://schemas.openxmlformats.org/officeDocument/2006/relationships/styles" Target="styles.xml"/><Relationship Id="rId21" Type="http://schemas.openxmlformats.org/officeDocument/2006/relationships/hyperlink" Target="https://www.fda.gov/drugs/informationondrugs/approveddrugs/ucm626720.htm" TargetMode="External"/><Relationship Id="rId34" Type="http://schemas.openxmlformats.org/officeDocument/2006/relationships/hyperlink" Target="http://ascopubs.org/doi/full/10.1200/JCO.2018.78.9636" TargetMode="External"/><Relationship Id="rId42" Type="http://schemas.openxmlformats.org/officeDocument/2006/relationships/hyperlink" Target="http://esmo.org/Guidelines/Gastrointestinal-Cancers/Biliary-Cance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linicaltrials.gov/ct2/show/NCT02576431" TargetMode="External"/><Relationship Id="rId25" Type="http://schemas.openxmlformats.org/officeDocument/2006/relationships/hyperlink" Target="https://www.nccn.org/professionals/physician_gls/pdf/nscl.pdf" TargetMode="External"/><Relationship Id="rId33" Type="http://schemas.openxmlformats.org/officeDocument/2006/relationships/hyperlink" Target="http://ascopubs.org/doi/full/10.1200/JCO.2015.63.7918" TargetMode="External"/><Relationship Id="rId38" Type="http://schemas.openxmlformats.org/officeDocument/2006/relationships/hyperlink" Target="http://www.esmo.org/Guidelines/Melanoma/Cutaneous-Melanoma"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linicaltrials.gov/ct2/show/NCT02637687" TargetMode="External"/><Relationship Id="rId20" Type="http://schemas.openxmlformats.org/officeDocument/2006/relationships/hyperlink" Target="https://academic.oup.com/annonc/article/30/2/325/5280725" TargetMode="External"/><Relationship Id="rId29" Type="http://schemas.openxmlformats.org/officeDocument/2006/relationships/hyperlink" Target="https://www.nccn.org/professionals/physician_gls/pdf/pancreatic.pdf" TargetMode="External"/><Relationship Id="rId41" Type="http://schemas.openxmlformats.org/officeDocument/2006/relationships/hyperlink" Target="http://esmo.org/Guidelines/Gastrointestinal-Cancers/Cancer-of-the-Pancre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nccn.org/professionals/physician_gls/pdf/melanoma.pdf" TargetMode="External"/><Relationship Id="rId32" Type="http://schemas.openxmlformats.org/officeDocument/2006/relationships/hyperlink" Target="http://ascopubs.org/doi/full/10.1200/JCO.2014.58.1322" TargetMode="External"/><Relationship Id="rId37" Type="http://schemas.openxmlformats.org/officeDocument/2006/relationships/hyperlink" Target="http://www.esmo.org/Guidelines/Endocrine-and-Neuroendocrine-Cancers/Thyroid-cancer" TargetMode="External"/><Relationship Id="rId40" Type="http://schemas.openxmlformats.org/officeDocument/2006/relationships/hyperlink" Target="http://esmo.org/Guidelines/Lung-and-Chest-Tumours/Metastatic-Non-Small-Cell-Lung-Cancer"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linicaltrials.gov/ct2/show/NCT02122913" TargetMode="External"/><Relationship Id="rId23" Type="http://schemas.openxmlformats.org/officeDocument/2006/relationships/hyperlink" Target="https://www.nccn.org/professionals/physician_gls/pdf/head-and-neck.pdf" TargetMode="External"/><Relationship Id="rId28" Type="http://schemas.openxmlformats.org/officeDocument/2006/relationships/hyperlink" Target="https://www.nccn.org/professionals/physician_gls/pdf/breast.pdf" TargetMode="External"/><Relationship Id="rId36" Type="http://schemas.openxmlformats.org/officeDocument/2006/relationships/hyperlink" Target="http://esmo.org/Guidelines/Sarcoma-and-GIST/Gastrointestinal-Stromal-Tumours" TargetMode="External"/><Relationship Id="rId10" Type="http://schemas.openxmlformats.org/officeDocument/2006/relationships/hyperlink" Target="http://www.cadth.ca/pcodr/registration" TargetMode="External"/><Relationship Id="rId19" Type="http://schemas.openxmlformats.org/officeDocument/2006/relationships/hyperlink" Target="https://www.nejm.org/doi/full/10.1056/NEJMoa1714448" TargetMode="External"/><Relationship Id="rId31" Type="http://schemas.openxmlformats.org/officeDocument/2006/relationships/hyperlink" Target="http://ascopubs.org/doi/pdf/10.1200/JCO.2014.56.7479"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ugreviewsadmin.cadth.ca/Landing/Register/Register.aspx?Lang=EN" TargetMode="External"/><Relationship Id="rId14" Type="http://schemas.openxmlformats.org/officeDocument/2006/relationships/footer" Target="footer2.xml"/><Relationship Id="rId22" Type="http://schemas.openxmlformats.org/officeDocument/2006/relationships/hyperlink" Target="https://www.nccn.org/professionals/physician_gls/pdf/colon.pdf" TargetMode="External"/><Relationship Id="rId27" Type="http://schemas.openxmlformats.org/officeDocument/2006/relationships/hyperlink" Target="https://www.nccn.org/professionals/physician_gls/pdf/sarcoma.pdf" TargetMode="External"/><Relationship Id="rId30" Type="http://schemas.openxmlformats.org/officeDocument/2006/relationships/hyperlink" Target="https://www.nccn.org/professionals/physician_gls/pdf/hepatobiliary.pdf" TargetMode="External"/><Relationship Id="rId35" Type="http://schemas.openxmlformats.org/officeDocument/2006/relationships/hyperlink" Target="http://www.esmo.org/Guidelines/Sarcoma-and-GIST/Soft-Tissue-and-Visceral-Sarcomas" TargetMode="External"/><Relationship Id="rId43" Type="http://schemas.openxmlformats.org/officeDocument/2006/relationships/hyperlink" Target="http://esmo.org/Guidelines/Breast-Cancer/3rd-ESO-ESMO-International-Consensus-Guidelines-for-Advanced-Breast-Cancer-ABC-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C626-BEA1-4E86-A7E5-70DB9D39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2019-02-25T18:13:00Z</dcterms:created>
  <dcterms:modified xsi:type="dcterms:W3CDTF">2019-02-25T18:13:00Z</dcterms:modified>
</cp:coreProperties>
</file>