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660"/>
        <w:gridCol w:w="7168"/>
      </w:tblGrid>
      <w:tr w:rsidR="00121EB1" w:rsidRPr="00EB0EEF" w14:paraId="49CE9DD0" w14:textId="77777777" w:rsidTr="00E75736">
        <w:tc>
          <w:tcPr>
            <w:tcW w:w="1690"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310" w:type="pct"/>
            <w:tcBorders>
              <w:left w:val="single" w:sz="4" w:space="0" w:color="0070C0"/>
            </w:tcBorders>
            <w:shd w:val="clear" w:color="auto" w:fill="auto"/>
            <w:tcMar>
              <w:top w:w="29" w:type="dxa"/>
              <w:left w:w="115" w:type="dxa"/>
              <w:bottom w:w="29" w:type="dxa"/>
              <w:right w:w="115" w:type="dxa"/>
            </w:tcMar>
          </w:tcPr>
          <w:p w14:paraId="3116913D" w14:textId="3BD2A5F3" w:rsidR="00121EB1" w:rsidRPr="00EB0EEF" w:rsidRDefault="00890A88" w:rsidP="00EB0EEF">
            <w:pPr>
              <w:pStyle w:val="DocumentTitle"/>
              <w:tabs>
                <w:tab w:val="left" w:pos="1074"/>
              </w:tabs>
              <w:spacing w:before="0" w:after="0"/>
              <w:rPr>
                <w:sz w:val="18"/>
                <w:szCs w:val="20"/>
              </w:rPr>
            </w:pPr>
            <w:r>
              <w:rPr>
                <w:sz w:val="18"/>
                <w:szCs w:val="20"/>
              </w:rPr>
              <w:t>pCODR 10161</w:t>
            </w:r>
          </w:p>
        </w:tc>
      </w:tr>
      <w:tr w:rsidR="00F369F8" w:rsidRPr="00EB0EEF" w14:paraId="5F2EA0E8" w14:textId="77777777" w:rsidTr="00E75736">
        <w:tc>
          <w:tcPr>
            <w:tcW w:w="1690"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310" w:type="pct"/>
            <w:shd w:val="clear" w:color="auto" w:fill="auto"/>
            <w:tcMar>
              <w:top w:w="29" w:type="dxa"/>
              <w:left w:w="115" w:type="dxa"/>
              <w:bottom w:w="29" w:type="dxa"/>
              <w:right w:w="115" w:type="dxa"/>
            </w:tcMar>
          </w:tcPr>
          <w:p w14:paraId="354CD25A" w14:textId="59321646" w:rsidR="00F369F8" w:rsidRPr="00EB0EEF" w:rsidRDefault="00890A88" w:rsidP="00216C7C">
            <w:pPr>
              <w:pStyle w:val="DocumentTitle"/>
              <w:tabs>
                <w:tab w:val="left" w:pos="1074"/>
              </w:tabs>
              <w:spacing w:before="0" w:after="0"/>
              <w:rPr>
                <w:sz w:val="18"/>
                <w:szCs w:val="20"/>
              </w:rPr>
            </w:pPr>
            <w:r>
              <w:rPr>
                <w:sz w:val="18"/>
                <w:szCs w:val="20"/>
              </w:rPr>
              <w:t>A</w:t>
            </w:r>
            <w:r w:rsidRPr="00890A88">
              <w:rPr>
                <w:sz w:val="18"/>
                <w:szCs w:val="20"/>
              </w:rPr>
              <w:t>bemaciclib</w:t>
            </w:r>
            <w:r>
              <w:rPr>
                <w:sz w:val="18"/>
                <w:szCs w:val="20"/>
              </w:rPr>
              <w:t xml:space="preserve"> (</w:t>
            </w:r>
            <w:r w:rsidR="00216C7C">
              <w:rPr>
                <w:sz w:val="18"/>
                <w:szCs w:val="20"/>
              </w:rPr>
              <w:t>TBD</w:t>
            </w:r>
            <w:r>
              <w:rPr>
                <w:sz w:val="18"/>
                <w:szCs w:val="20"/>
              </w:rPr>
              <w:t>)</w:t>
            </w:r>
          </w:p>
        </w:tc>
      </w:tr>
      <w:tr w:rsidR="00F369F8" w:rsidRPr="00EB0EEF" w14:paraId="6CE9F74A" w14:textId="77777777" w:rsidTr="00E75736">
        <w:tc>
          <w:tcPr>
            <w:tcW w:w="1690"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310" w:type="pct"/>
            <w:shd w:val="clear" w:color="auto" w:fill="auto"/>
            <w:tcMar>
              <w:top w:w="29" w:type="dxa"/>
              <w:left w:w="115" w:type="dxa"/>
              <w:bottom w:w="29" w:type="dxa"/>
              <w:right w:w="115" w:type="dxa"/>
            </w:tcMar>
          </w:tcPr>
          <w:p w14:paraId="188CCEE5" w14:textId="1579B07E" w:rsidR="00F369F8" w:rsidRPr="00EB0EEF" w:rsidRDefault="00890A88" w:rsidP="00EB0EEF">
            <w:pPr>
              <w:pStyle w:val="DocumentTitle"/>
              <w:tabs>
                <w:tab w:val="left" w:pos="1074"/>
              </w:tabs>
              <w:spacing w:before="0" w:after="0"/>
              <w:rPr>
                <w:sz w:val="18"/>
                <w:szCs w:val="20"/>
              </w:rPr>
            </w:pPr>
            <w:r w:rsidRPr="00890A88">
              <w:rPr>
                <w:sz w:val="18"/>
                <w:szCs w:val="20"/>
              </w:rPr>
              <w:t>Advanced or Metastatic Breast Cancer</w:t>
            </w:r>
          </w:p>
        </w:tc>
      </w:tr>
      <w:tr w:rsidR="00F369F8" w:rsidRPr="00EB0EEF" w14:paraId="5464C665" w14:textId="77777777" w:rsidTr="00E75736">
        <w:tc>
          <w:tcPr>
            <w:tcW w:w="1690"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310" w:type="pct"/>
            <w:shd w:val="clear" w:color="auto" w:fill="auto"/>
            <w:tcMar>
              <w:top w:w="29" w:type="dxa"/>
              <w:left w:w="115" w:type="dxa"/>
              <w:bottom w:w="29" w:type="dxa"/>
              <w:right w:w="115" w:type="dxa"/>
            </w:tcMar>
          </w:tcPr>
          <w:p w14:paraId="32DF7206" w14:textId="77777777" w:rsidR="009F3DA5" w:rsidRPr="009F3DA5" w:rsidRDefault="009F3DA5" w:rsidP="009F3DA5">
            <w:pPr>
              <w:pStyle w:val="DocumentTitle"/>
              <w:tabs>
                <w:tab w:val="left" w:pos="1074"/>
              </w:tabs>
              <w:spacing w:before="0" w:after="0"/>
              <w:rPr>
                <w:sz w:val="18"/>
                <w:szCs w:val="20"/>
              </w:rPr>
            </w:pPr>
            <w:r w:rsidRPr="009F3DA5">
              <w:rPr>
                <w:sz w:val="18"/>
                <w:szCs w:val="20"/>
              </w:rPr>
              <w:t>For the treatment of hormone receptor (HR)-positive, human epidermal growth factor receptor 2 (HER2)-negative advanced or metastatic breast cancer:</w:t>
            </w:r>
          </w:p>
          <w:p w14:paraId="15BC8084" w14:textId="77777777" w:rsidR="009F3DA5" w:rsidRDefault="009F3DA5" w:rsidP="009F3DA5">
            <w:pPr>
              <w:pStyle w:val="DocumentTitle"/>
              <w:numPr>
                <w:ilvl w:val="0"/>
                <w:numId w:val="49"/>
              </w:numPr>
              <w:tabs>
                <w:tab w:val="left" w:pos="1074"/>
              </w:tabs>
              <w:spacing w:before="0" w:after="0"/>
              <w:rPr>
                <w:sz w:val="18"/>
                <w:szCs w:val="20"/>
              </w:rPr>
            </w:pPr>
            <w:r w:rsidRPr="009F3DA5">
              <w:rPr>
                <w:sz w:val="18"/>
                <w:szCs w:val="20"/>
              </w:rPr>
              <w:t>In combination with an aromatase inhibitor in postmenopausal women as initial endocrine based therapy.</w:t>
            </w:r>
          </w:p>
          <w:p w14:paraId="09887E5F" w14:textId="7B9B0996" w:rsidR="009F3DA5" w:rsidRPr="009F3DA5" w:rsidRDefault="009F3DA5" w:rsidP="009F3DA5">
            <w:pPr>
              <w:pStyle w:val="DocumentTitle"/>
              <w:numPr>
                <w:ilvl w:val="0"/>
                <w:numId w:val="49"/>
              </w:numPr>
              <w:tabs>
                <w:tab w:val="left" w:pos="1074"/>
              </w:tabs>
              <w:spacing w:before="0" w:after="0"/>
              <w:rPr>
                <w:sz w:val="18"/>
                <w:szCs w:val="20"/>
              </w:rPr>
            </w:pPr>
            <w:r w:rsidRPr="009F3DA5">
              <w:rPr>
                <w:sz w:val="18"/>
                <w:szCs w:val="20"/>
              </w:rPr>
              <w:t>In combination with fulvestrant in women with disease progression following endocrine therapy. Pre- or perimenopausal women must also be treated with a gonadotropin-releasing hormone agonist.</w:t>
            </w:r>
          </w:p>
        </w:tc>
      </w:tr>
      <w:tr w:rsidR="00F369F8" w:rsidRPr="00EB0EEF" w14:paraId="342A3814" w14:textId="77777777" w:rsidTr="00E75736">
        <w:tc>
          <w:tcPr>
            <w:tcW w:w="1690"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pCODR</w:t>
            </w:r>
            <w:r w:rsidR="00865015" w:rsidRPr="00EB0EEF">
              <w:rPr>
                <w:color w:val="FFFFFF" w:themeColor="background1"/>
                <w:sz w:val="18"/>
                <w:szCs w:val="20"/>
                <w:vertAlign w:val="superscript"/>
              </w:rPr>
              <w:t>a</w:t>
            </w:r>
          </w:p>
        </w:tc>
        <w:tc>
          <w:tcPr>
            <w:tcW w:w="3310" w:type="pct"/>
            <w:shd w:val="clear" w:color="auto" w:fill="auto"/>
            <w:tcMar>
              <w:top w:w="29" w:type="dxa"/>
              <w:left w:w="115" w:type="dxa"/>
              <w:bottom w:w="29" w:type="dxa"/>
              <w:right w:w="115" w:type="dxa"/>
            </w:tcMar>
          </w:tcPr>
          <w:p w14:paraId="301DBB9D" w14:textId="77777777" w:rsidR="00E75736" w:rsidRPr="00E75736" w:rsidRDefault="00E75736" w:rsidP="00E75736">
            <w:pPr>
              <w:pStyle w:val="DocumentTitle"/>
              <w:numPr>
                <w:ilvl w:val="0"/>
                <w:numId w:val="44"/>
              </w:numPr>
              <w:tabs>
                <w:tab w:val="left" w:pos="1074"/>
              </w:tabs>
              <w:spacing w:before="0" w:after="0"/>
              <w:rPr>
                <w:color w:val="000000"/>
                <w:sz w:val="18"/>
                <w:szCs w:val="18"/>
                <w:shd w:val="clear" w:color="auto" w:fill="FFFFFF"/>
              </w:rPr>
            </w:pPr>
            <w:r w:rsidRPr="00E75736">
              <w:rPr>
                <w:color w:val="000000"/>
                <w:sz w:val="18"/>
                <w:szCs w:val="18"/>
                <w:shd w:val="clear" w:color="auto" w:fill="FFFFFF"/>
              </w:rPr>
              <w:t>Monarch 2 (</w:t>
            </w:r>
            <w:hyperlink r:id="rId14" w:history="1">
              <w:r w:rsidRPr="00E75736">
                <w:rPr>
                  <w:rStyle w:val="Hyperlink"/>
                  <w:sz w:val="18"/>
                  <w:szCs w:val="18"/>
                  <w:shd w:val="clear" w:color="auto" w:fill="FFFFFF"/>
                </w:rPr>
                <w:t>NCT02107703</w:t>
              </w:r>
            </w:hyperlink>
            <w:r w:rsidRPr="00E75736">
              <w:rPr>
                <w:color w:val="000000"/>
                <w:sz w:val="18"/>
                <w:szCs w:val="18"/>
                <w:shd w:val="clear" w:color="auto" w:fill="FFFFFF"/>
              </w:rPr>
              <w:t>)</w:t>
            </w:r>
          </w:p>
          <w:p w14:paraId="1BC184EC" w14:textId="77777777" w:rsidR="00E75736" w:rsidRPr="00E75736" w:rsidRDefault="00E75736" w:rsidP="00E75736">
            <w:pPr>
              <w:pStyle w:val="DocumentTitle"/>
              <w:numPr>
                <w:ilvl w:val="0"/>
                <w:numId w:val="44"/>
              </w:numPr>
              <w:tabs>
                <w:tab w:val="left" w:pos="1074"/>
              </w:tabs>
              <w:spacing w:before="0" w:after="0"/>
              <w:rPr>
                <w:color w:val="000000"/>
                <w:sz w:val="18"/>
                <w:szCs w:val="18"/>
                <w:shd w:val="clear" w:color="auto" w:fill="FFFFFF"/>
              </w:rPr>
            </w:pPr>
            <w:hyperlink r:id="rId15" w:history="1">
              <w:r w:rsidRPr="00E75736">
                <w:rPr>
                  <w:rStyle w:val="Hyperlink"/>
                  <w:sz w:val="18"/>
                  <w:szCs w:val="18"/>
                  <w:shd w:val="clear" w:color="auto" w:fill="FFFFFF"/>
                </w:rPr>
                <w:t>Sledge, Jr et al., JCO 2017</w:t>
              </w:r>
            </w:hyperlink>
          </w:p>
          <w:p w14:paraId="70FD2909" w14:textId="6A151265" w:rsidR="00890A88" w:rsidRPr="00E75736" w:rsidRDefault="00890A88" w:rsidP="00E75736">
            <w:pPr>
              <w:pStyle w:val="DocumentTitle"/>
              <w:numPr>
                <w:ilvl w:val="0"/>
                <w:numId w:val="44"/>
              </w:numPr>
              <w:tabs>
                <w:tab w:val="left" w:pos="1074"/>
              </w:tabs>
              <w:spacing w:before="0" w:after="0"/>
              <w:rPr>
                <w:color w:val="000000"/>
                <w:sz w:val="18"/>
                <w:szCs w:val="18"/>
                <w:shd w:val="clear" w:color="auto" w:fill="FFFFFF"/>
              </w:rPr>
            </w:pPr>
            <w:r w:rsidRPr="00E75736">
              <w:rPr>
                <w:color w:val="000000"/>
                <w:sz w:val="18"/>
                <w:szCs w:val="18"/>
                <w:shd w:val="clear" w:color="auto" w:fill="FFFFFF"/>
              </w:rPr>
              <w:t>MONARCH 3 (</w:t>
            </w:r>
            <w:hyperlink r:id="rId16" w:tgtFrame="_blank" w:history="1">
              <w:r w:rsidRPr="00E75736">
                <w:rPr>
                  <w:rStyle w:val="Hyperlink"/>
                  <w:sz w:val="18"/>
                  <w:szCs w:val="18"/>
                  <w:bdr w:val="none" w:sz="0" w:space="0" w:color="auto" w:frame="1"/>
                  <w:shd w:val="clear" w:color="auto" w:fill="FFFFFF"/>
                </w:rPr>
                <w:t>NCT02246621</w:t>
              </w:r>
            </w:hyperlink>
            <w:r w:rsidRPr="00E75736">
              <w:rPr>
                <w:color w:val="000000"/>
                <w:sz w:val="18"/>
                <w:szCs w:val="18"/>
                <w:shd w:val="clear" w:color="auto" w:fill="FFFFFF"/>
              </w:rPr>
              <w:t>)</w:t>
            </w:r>
          </w:p>
          <w:p w14:paraId="52AF8FBD" w14:textId="77716592" w:rsidR="00E75736" w:rsidRPr="00E75736" w:rsidRDefault="00E75736" w:rsidP="00E75736">
            <w:pPr>
              <w:pStyle w:val="DocumentTitle"/>
              <w:numPr>
                <w:ilvl w:val="0"/>
                <w:numId w:val="44"/>
              </w:numPr>
              <w:tabs>
                <w:tab w:val="left" w:pos="1074"/>
              </w:tabs>
              <w:spacing w:before="0" w:after="0"/>
              <w:rPr>
                <w:color w:val="000000"/>
                <w:sz w:val="21"/>
                <w:szCs w:val="21"/>
                <w:shd w:val="clear" w:color="auto" w:fill="FFFFFF"/>
              </w:rPr>
            </w:pPr>
            <w:hyperlink r:id="rId17" w:tgtFrame="_blank" w:history="1">
              <w:r w:rsidR="00890A88" w:rsidRPr="00E75736">
                <w:rPr>
                  <w:rStyle w:val="Hyperlink"/>
                  <w:sz w:val="18"/>
                  <w:szCs w:val="18"/>
                  <w:bdr w:val="none" w:sz="0" w:space="0" w:color="auto" w:frame="1"/>
                  <w:shd w:val="clear" w:color="auto" w:fill="FFFFFF"/>
                </w:rPr>
                <w:t>Goetz et al., JCO 2017</w:t>
              </w:r>
            </w:hyperlink>
          </w:p>
        </w:tc>
      </w:tr>
      <w:tr w:rsidR="00275E1C" w:rsidRPr="00EB0EEF" w14:paraId="51FA4D73" w14:textId="77777777" w:rsidTr="00E75736">
        <w:tc>
          <w:tcPr>
            <w:tcW w:w="1690"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44AE94F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310" w:type="pct"/>
            <w:shd w:val="clear" w:color="auto" w:fill="auto"/>
            <w:tcMar>
              <w:top w:w="29" w:type="dxa"/>
              <w:left w:w="115" w:type="dxa"/>
              <w:bottom w:w="29" w:type="dxa"/>
              <w:right w:w="115" w:type="dxa"/>
            </w:tcMar>
          </w:tcPr>
          <w:p w14:paraId="547CC765" w14:textId="2FDB850B" w:rsidR="00275E1C" w:rsidRPr="00EB0EEF" w:rsidRDefault="00890A88" w:rsidP="00890A88">
            <w:pPr>
              <w:pStyle w:val="DocumentTitle"/>
              <w:tabs>
                <w:tab w:val="left" w:pos="1074"/>
              </w:tabs>
              <w:spacing w:before="0" w:after="0"/>
              <w:rPr>
                <w:color w:val="C00000"/>
                <w:sz w:val="18"/>
                <w:szCs w:val="20"/>
              </w:rPr>
            </w:pPr>
            <w:r w:rsidRPr="00890A88">
              <w:rPr>
                <w:sz w:val="18"/>
                <w:szCs w:val="20"/>
              </w:rPr>
              <w:t>Pending</w:t>
            </w:r>
          </w:p>
        </w:tc>
      </w:tr>
      <w:tr w:rsidR="00F369F8" w:rsidRPr="00EB0EEF" w14:paraId="73E29B9B" w14:textId="77777777" w:rsidTr="00E75736">
        <w:tc>
          <w:tcPr>
            <w:tcW w:w="1690"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310" w:type="pct"/>
            <w:shd w:val="clear" w:color="auto" w:fill="auto"/>
            <w:tcMar>
              <w:top w:w="29" w:type="dxa"/>
              <w:left w:w="115" w:type="dxa"/>
              <w:bottom w:w="29" w:type="dxa"/>
              <w:right w:w="115" w:type="dxa"/>
            </w:tcMar>
          </w:tcPr>
          <w:p w14:paraId="712350E9" w14:textId="334BDE75" w:rsidR="00890A88" w:rsidRPr="00890A88" w:rsidRDefault="00E75736" w:rsidP="00890A88">
            <w:pPr>
              <w:pStyle w:val="DocumentTitle"/>
              <w:tabs>
                <w:tab w:val="left" w:pos="1074"/>
              </w:tabs>
              <w:spacing w:before="0" w:after="0"/>
              <w:rPr>
                <w:sz w:val="18"/>
                <w:szCs w:val="20"/>
              </w:rPr>
            </w:pPr>
            <w:hyperlink r:id="rId18" w:history="1">
              <w:r w:rsidR="00890A88" w:rsidRPr="00890A88">
                <w:rPr>
                  <w:rStyle w:val="Hyperlink"/>
                  <w:sz w:val="18"/>
                  <w:szCs w:val="20"/>
                </w:rPr>
                <w:t>February 26, 2018</w:t>
              </w:r>
            </w:hyperlink>
          </w:p>
          <w:p w14:paraId="72E3E783" w14:textId="77777777" w:rsidR="00890A88" w:rsidRPr="00890A88" w:rsidRDefault="00890A88" w:rsidP="00890A88">
            <w:pPr>
              <w:pStyle w:val="DocumentTitle"/>
              <w:tabs>
                <w:tab w:val="left" w:pos="1074"/>
              </w:tabs>
              <w:spacing w:before="0" w:after="0"/>
              <w:rPr>
                <w:sz w:val="18"/>
                <w:szCs w:val="20"/>
              </w:rPr>
            </w:pPr>
          </w:p>
          <w:p w14:paraId="2EE07483" w14:textId="68ACAF6E" w:rsidR="00275E1C" w:rsidRPr="00890A88" w:rsidRDefault="00890A88" w:rsidP="00890A88">
            <w:pPr>
              <w:pStyle w:val="DocumentTitle"/>
              <w:tabs>
                <w:tab w:val="left" w:pos="1074"/>
              </w:tabs>
              <w:spacing w:before="0" w:after="0"/>
              <w:rPr>
                <w:sz w:val="18"/>
                <w:szCs w:val="20"/>
              </w:rPr>
            </w:pPr>
            <w:r w:rsidRPr="00890A88">
              <w:rPr>
                <w:sz w:val="18"/>
                <w:szCs w:val="20"/>
              </w:rPr>
              <w:t>in combination with an aromatase inhibitor as initial endocrine-based therapy for postmenopausal women with hormone receptor (HR)-positive, human epidermal growth factor receptor 2 (HER2)-negative advanced or metastatic breast cancer.</w:t>
            </w:r>
          </w:p>
        </w:tc>
      </w:tr>
      <w:tr w:rsidR="00F369F8" w:rsidRPr="00EB0EEF" w14:paraId="0DA12E48" w14:textId="77777777" w:rsidTr="00E75736">
        <w:tc>
          <w:tcPr>
            <w:tcW w:w="1690"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310" w:type="pct"/>
            <w:shd w:val="clear" w:color="auto" w:fill="auto"/>
            <w:tcMar>
              <w:top w:w="29" w:type="dxa"/>
              <w:left w:w="115" w:type="dxa"/>
              <w:bottom w:w="29" w:type="dxa"/>
              <w:right w:w="115" w:type="dxa"/>
            </w:tcMar>
          </w:tcPr>
          <w:p w14:paraId="03F78682" w14:textId="2CAE2D47" w:rsidR="006431C5" w:rsidRPr="006431C5" w:rsidRDefault="00E75736" w:rsidP="00EB0EEF">
            <w:pPr>
              <w:pStyle w:val="DocumentTitle"/>
              <w:tabs>
                <w:tab w:val="left" w:pos="1074"/>
              </w:tabs>
              <w:spacing w:before="0" w:after="0"/>
              <w:rPr>
                <w:sz w:val="18"/>
                <w:szCs w:val="20"/>
              </w:rPr>
            </w:pPr>
            <w:hyperlink r:id="rId19" w:history="1">
              <w:r w:rsidR="006431C5" w:rsidRPr="006431C5">
                <w:rPr>
                  <w:rStyle w:val="Hyperlink"/>
                  <w:sz w:val="18"/>
                  <w:szCs w:val="20"/>
                </w:rPr>
                <w:t>July 26, 2018</w:t>
              </w:r>
            </w:hyperlink>
          </w:p>
          <w:p w14:paraId="62280B9D" w14:textId="77777777" w:rsidR="006431C5" w:rsidRPr="006431C5" w:rsidRDefault="006431C5" w:rsidP="00EB0EEF">
            <w:pPr>
              <w:pStyle w:val="DocumentTitle"/>
              <w:tabs>
                <w:tab w:val="left" w:pos="1074"/>
              </w:tabs>
              <w:spacing w:before="0" w:after="0"/>
              <w:rPr>
                <w:sz w:val="18"/>
                <w:szCs w:val="20"/>
              </w:rPr>
            </w:pPr>
          </w:p>
          <w:p w14:paraId="4C41015F" w14:textId="497C94AA" w:rsidR="006431C5" w:rsidRPr="006431C5" w:rsidRDefault="006431C5" w:rsidP="006431C5">
            <w:pPr>
              <w:pStyle w:val="DocumentTitle"/>
              <w:tabs>
                <w:tab w:val="left" w:pos="1074"/>
              </w:tabs>
              <w:spacing w:after="0"/>
              <w:rPr>
                <w:sz w:val="18"/>
                <w:szCs w:val="20"/>
              </w:rPr>
            </w:pPr>
            <w:r w:rsidRPr="006431C5">
              <w:rPr>
                <w:sz w:val="18"/>
                <w:szCs w:val="20"/>
              </w:rPr>
              <w:t>for the treatment of women with hormone receptor (HR) positive, human epidermal growth factor receptor 2 (HER2) negative locally advanced or metastatic breast cancer in combination with an aromatase inhibitor or fulvestrant as initial endocrine-based therapy, or in women who have received prior endocrine therapy. In pre- or perimenopausal women, the endocrine therapy should be combined with a luteinising</w:t>
            </w:r>
          </w:p>
          <w:p w14:paraId="4382D7E4" w14:textId="3365D043" w:rsidR="00F369F8" w:rsidRPr="00EB0EEF" w:rsidRDefault="006431C5" w:rsidP="006431C5">
            <w:pPr>
              <w:pStyle w:val="DocumentTitle"/>
              <w:tabs>
                <w:tab w:val="left" w:pos="1074"/>
              </w:tabs>
              <w:spacing w:before="0" w:after="0"/>
              <w:rPr>
                <w:color w:val="C00000"/>
                <w:sz w:val="18"/>
                <w:szCs w:val="20"/>
              </w:rPr>
            </w:pPr>
            <w:r w:rsidRPr="006431C5">
              <w:rPr>
                <w:sz w:val="18"/>
                <w:szCs w:val="20"/>
              </w:rPr>
              <w:t>hormone-releasing hormone (LHRH) agonist.</w:t>
            </w:r>
          </w:p>
        </w:tc>
      </w:tr>
      <w:tr w:rsidR="003100FC" w:rsidRPr="00EB0EEF" w14:paraId="7869AB95" w14:textId="77777777" w:rsidTr="00E75736">
        <w:tc>
          <w:tcPr>
            <w:tcW w:w="1690"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35526D9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Practice Guidelines</w:t>
            </w:r>
            <w:r w:rsidR="00D47251" w:rsidRPr="00EB0EEF">
              <w:rPr>
                <w:color w:val="FFFFFF" w:themeColor="background1"/>
                <w:sz w:val="18"/>
                <w:szCs w:val="20"/>
                <w:vertAlign w:val="superscript"/>
              </w:rPr>
              <w:t>a</w:t>
            </w:r>
          </w:p>
        </w:tc>
        <w:tc>
          <w:tcPr>
            <w:tcW w:w="3310" w:type="pct"/>
            <w:shd w:val="clear" w:color="auto" w:fill="auto"/>
            <w:tcMar>
              <w:top w:w="29" w:type="dxa"/>
              <w:left w:w="115" w:type="dxa"/>
              <w:bottom w:w="29" w:type="dxa"/>
              <w:right w:w="115" w:type="dxa"/>
            </w:tcMar>
          </w:tcPr>
          <w:p w14:paraId="2B988D4C" w14:textId="79563385" w:rsidR="006431C5" w:rsidRDefault="006431C5" w:rsidP="00EB0EEF">
            <w:pPr>
              <w:pStyle w:val="DocumentTitle"/>
              <w:tabs>
                <w:tab w:val="left" w:pos="1074"/>
              </w:tabs>
              <w:spacing w:before="0" w:after="0"/>
              <w:rPr>
                <w:sz w:val="18"/>
                <w:szCs w:val="20"/>
              </w:rPr>
            </w:pPr>
            <w:r>
              <w:rPr>
                <w:sz w:val="18"/>
                <w:szCs w:val="20"/>
              </w:rPr>
              <w:t xml:space="preserve">NCCN. </w:t>
            </w:r>
            <w:r w:rsidRPr="006431C5">
              <w:rPr>
                <w:sz w:val="18"/>
                <w:szCs w:val="20"/>
              </w:rPr>
              <w:t>Clinical Practice Guidelines in Oncology (Breast Cancer – version 1.2018, April 23, 2018</w:t>
            </w:r>
            <w:r>
              <w:rPr>
                <w:sz w:val="18"/>
                <w:szCs w:val="20"/>
              </w:rPr>
              <w:t xml:space="preserve">. Available from: </w:t>
            </w:r>
            <w:hyperlink r:id="rId20" w:history="1">
              <w:r w:rsidRPr="001E3B1F">
                <w:rPr>
                  <w:rStyle w:val="Hyperlink"/>
                  <w:sz w:val="18"/>
                  <w:szCs w:val="20"/>
                </w:rPr>
                <w:t>https://www.nccn.org/professionals/physician_gls/pdf/breast_blocks.pdf</w:t>
              </w:r>
            </w:hyperlink>
            <w:r>
              <w:rPr>
                <w:sz w:val="18"/>
                <w:szCs w:val="20"/>
              </w:rPr>
              <w:t xml:space="preserve"> </w:t>
            </w:r>
          </w:p>
          <w:p w14:paraId="7B036D59" w14:textId="77777777" w:rsidR="006431C5" w:rsidRDefault="006431C5" w:rsidP="00EB0EEF">
            <w:pPr>
              <w:pStyle w:val="DocumentTitle"/>
              <w:tabs>
                <w:tab w:val="left" w:pos="1074"/>
              </w:tabs>
              <w:spacing w:before="0" w:after="0"/>
              <w:rPr>
                <w:sz w:val="18"/>
                <w:szCs w:val="20"/>
              </w:rPr>
            </w:pPr>
          </w:p>
          <w:p w14:paraId="1AEE9597" w14:textId="4DED825E" w:rsidR="0013642F" w:rsidRDefault="0013642F" w:rsidP="00EB0EEF">
            <w:pPr>
              <w:pStyle w:val="DocumentTitle"/>
              <w:tabs>
                <w:tab w:val="left" w:pos="1074"/>
              </w:tabs>
              <w:spacing w:before="0" w:after="0"/>
              <w:rPr>
                <w:sz w:val="18"/>
                <w:szCs w:val="20"/>
              </w:rPr>
            </w:pPr>
            <w:r w:rsidRPr="00A720A7">
              <w:rPr>
                <w:sz w:val="18"/>
                <w:szCs w:val="18"/>
                <w:lang w:val="fr-CA"/>
              </w:rPr>
              <w:t xml:space="preserve">Rugo H, Rumble B, Macrae E et al. </w:t>
            </w:r>
            <w:r w:rsidRPr="00A720A7">
              <w:rPr>
                <w:sz w:val="18"/>
                <w:szCs w:val="18"/>
              </w:rPr>
              <w:t xml:space="preserve">Endocrine Therapy for Hormone Receptor–Positive Metastatic Breast Cancer: American Society of Clinical Oncology Guideline. </w:t>
            </w:r>
            <w:hyperlink r:id="rId21" w:history="1">
              <w:r w:rsidRPr="00A720A7">
                <w:rPr>
                  <w:rStyle w:val="Hyperlink"/>
                  <w:sz w:val="18"/>
                  <w:szCs w:val="18"/>
                </w:rPr>
                <w:t>J. Clin Oncol. 2016; 34(25): 3069-3105.</w:t>
              </w:r>
            </w:hyperlink>
          </w:p>
          <w:p w14:paraId="668799DB" w14:textId="77777777" w:rsidR="0013642F" w:rsidRDefault="0013642F" w:rsidP="0013642F">
            <w:pPr>
              <w:pStyle w:val="DocumentTitle"/>
              <w:tabs>
                <w:tab w:val="left" w:pos="1074"/>
              </w:tabs>
              <w:spacing w:before="0" w:after="0"/>
              <w:rPr>
                <w:sz w:val="18"/>
                <w:szCs w:val="20"/>
              </w:rPr>
            </w:pPr>
          </w:p>
          <w:p w14:paraId="17E99E46" w14:textId="23B9C77F" w:rsidR="0013642F" w:rsidRPr="0013642F" w:rsidRDefault="0013642F" w:rsidP="0013642F">
            <w:pPr>
              <w:pStyle w:val="DocumentTitle"/>
              <w:tabs>
                <w:tab w:val="left" w:pos="1074"/>
              </w:tabs>
              <w:spacing w:before="0" w:after="0"/>
              <w:rPr>
                <w:sz w:val="18"/>
                <w:szCs w:val="18"/>
              </w:rPr>
            </w:pPr>
            <w:r w:rsidRPr="0013642F">
              <w:rPr>
                <w:sz w:val="18"/>
                <w:szCs w:val="18"/>
              </w:rPr>
              <w:t>Cardoso F, Senkus E, Costa E et al. 4th ESO–ESMO International Consensus Guidelines for Advanced Breast Cancer (ABC 4)</w:t>
            </w:r>
            <w:r>
              <w:rPr>
                <w:sz w:val="18"/>
                <w:szCs w:val="18"/>
              </w:rPr>
              <w:t>.</w:t>
            </w:r>
            <w:r w:rsidRPr="0013642F">
              <w:rPr>
                <w:sz w:val="18"/>
                <w:szCs w:val="18"/>
              </w:rPr>
              <w:t xml:space="preserve"> </w:t>
            </w:r>
            <w:hyperlink r:id="rId22" w:history="1">
              <w:r w:rsidRPr="0013642F">
                <w:rPr>
                  <w:rStyle w:val="Hyperlink"/>
                  <w:sz w:val="18"/>
                  <w:szCs w:val="18"/>
                </w:rPr>
                <w:t>Ann Oncol (2018); 29: 1634–1657.</w:t>
              </w:r>
            </w:hyperlink>
            <w:r>
              <w:rPr>
                <w:sz w:val="18"/>
                <w:szCs w:val="18"/>
              </w:rPr>
              <w:t xml:space="preserve"> </w:t>
            </w:r>
          </w:p>
        </w:tc>
      </w:tr>
      <w:tr w:rsidR="00420EEA" w:rsidRPr="00EB0EEF" w14:paraId="5A5541E3" w14:textId="77777777" w:rsidTr="00E75736">
        <w:tc>
          <w:tcPr>
            <w:tcW w:w="1690"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310" w:type="pct"/>
            <w:shd w:val="clear" w:color="auto" w:fill="auto"/>
            <w:tcMar>
              <w:top w:w="29" w:type="dxa"/>
              <w:left w:w="115" w:type="dxa"/>
              <w:bottom w:w="29" w:type="dxa"/>
              <w:right w:w="115" w:type="dxa"/>
            </w:tcMar>
          </w:tcPr>
          <w:p w14:paraId="1EA5E135" w14:textId="5C764083" w:rsidR="0013642F" w:rsidRPr="0013642F" w:rsidRDefault="0013642F" w:rsidP="0013642F">
            <w:pPr>
              <w:pStyle w:val="DocumentTitle"/>
              <w:tabs>
                <w:tab w:val="left" w:pos="1074"/>
              </w:tabs>
              <w:spacing w:before="0" w:after="0"/>
              <w:rPr>
                <w:sz w:val="18"/>
                <w:szCs w:val="20"/>
              </w:rPr>
            </w:pPr>
            <w:r w:rsidRPr="0013642F">
              <w:rPr>
                <w:sz w:val="18"/>
                <w:szCs w:val="20"/>
              </w:rPr>
              <w:t>Various aromatase inhibitors are available for initial treatment of advanced or metastatic disease in estrogen-receptor positive, HER-2 negative breast cancer. These include anastrozole, exemestane and letrozole.  Palbociclib plus letrozole is also available in most jurisdictions.</w:t>
            </w:r>
          </w:p>
          <w:p w14:paraId="3F95B955" w14:textId="77777777" w:rsidR="0013642F" w:rsidRPr="0013642F" w:rsidRDefault="0013642F" w:rsidP="0013642F">
            <w:pPr>
              <w:pStyle w:val="DocumentTitle"/>
              <w:tabs>
                <w:tab w:val="left" w:pos="1074"/>
              </w:tabs>
              <w:spacing w:before="0" w:after="0"/>
              <w:rPr>
                <w:sz w:val="18"/>
                <w:szCs w:val="20"/>
              </w:rPr>
            </w:pPr>
          </w:p>
          <w:p w14:paraId="09ECBE82" w14:textId="5A163310" w:rsidR="00420EEA" w:rsidRPr="00EB0EEF" w:rsidRDefault="0013642F" w:rsidP="0013642F">
            <w:pPr>
              <w:pStyle w:val="DocumentTitle"/>
              <w:tabs>
                <w:tab w:val="left" w:pos="1074"/>
              </w:tabs>
              <w:spacing w:before="0" w:after="0"/>
              <w:rPr>
                <w:color w:val="C00000"/>
                <w:sz w:val="18"/>
                <w:szCs w:val="20"/>
              </w:rPr>
            </w:pPr>
            <w:bookmarkStart w:id="0" w:name="_GoBack"/>
            <w:bookmarkEnd w:id="0"/>
            <w:r w:rsidRPr="0013642F">
              <w:rPr>
                <w:sz w:val="18"/>
                <w:szCs w:val="18"/>
              </w:rPr>
              <w:t>See Appendix B – Provincial Funding of Treatments for Metastatic Breast Cancer</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4"/>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E75736"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lastRenderedPageBreak/>
        <w:t xml:space="preserve">  </w:t>
      </w:r>
      <w:bookmarkStart w:id="6" w:name="_Toc439923600"/>
      <w:bookmarkEnd w:id="5"/>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6"/>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7"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7"/>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8"/>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D380215" w14:textId="2AA0BC2E" w:rsidR="006F03F1" w:rsidRDefault="00364061" w:rsidP="000028EA">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p>
    <w:p w14:paraId="00F966F4" w14:textId="54FED5E5" w:rsidR="00B44453" w:rsidRPr="00EB0EEF" w:rsidRDefault="0013642F" w:rsidP="0013642F">
      <w:pPr>
        <w:pStyle w:val="pCODR1Body"/>
        <w:spacing w:line="276" w:lineRule="auto"/>
        <w:ind w:left="360"/>
        <w:rPr>
          <w:rFonts w:ascii="Arial" w:hAnsi="Arial" w:cs="Arial"/>
          <w:sz w:val="18"/>
        </w:rPr>
      </w:pPr>
      <w:r>
        <w:rPr>
          <w:rFonts w:ascii="Arial" w:hAnsi="Arial" w:cs="Arial"/>
          <w:b/>
          <w:sz w:val="18"/>
        </w:rPr>
        <w:t xml:space="preserve">4.1. </w:t>
      </w:r>
      <w:r w:rsidRPr="0013642F">
        <w:rPr>
          <w:rFonts w:ascii="Arial" w:hAnsi="Arial" w:cs="Arial"/>
          <w:sz w:val="18"/>
        </w:rPr>
        <w:t xml:space="preserve">Ribociclib and palbociclib in combination with an aromatase inhibitor as initial therapy for advanced or metastatic breast cancer were reviewed </w:t>
      </w:r>
      <w:r w:rsidR="0004273E">
        <w:rPr>
          <w:rFonts w:ascii="Arial" w:hAnsi="Arial" w:cs="Arial"/>
          <w:sz w:val="18"/>
        </w:rPr>
        <w:t>by the</w:t>
      </w:r>
      <w:r w:rsidR="0004273E" w:rsidRPr="0013642F">
        <w:rPr>
          <w:rFonts w:ascii="Arial" w:hAnsi="Arial" w:cs="Arial"/>
          <w:sz w:val="18"/>
        </w:rPr>
        <w:t xml:space="preserve"> </w:t>
      </w:r>
      <w:r w:rsidRPr="0013642F">
        <w:rPr>
          <w:rFonts w:ascii="Arial" w:hAnsi="Arial" w:cs="Arial"/>
          <w:sz w:val="18"/>
        </w:rPr>
        <w:t>pCODR</w:t>
      </w:r>
      <w:r w:rsidR="0004273E">
        <w:rPr>
          <w:rFonts w:ascii="Arial" w:hAnsi="Arial" w:cs="Arial"/>
          <w:sz w:val="18"/>
        </w:rPr>
        <w:t xml:space="preserve"> program</w:t>
      </w:r>
      <w:r w:rsidRPr="0013642F">
        <w:rPr>
          <w:rFonts w:ascii="Arial" w:hAnsi="Arial" w:cs="Arial"/>
          <w:sz w:val="18"/>
        </w:rPr>
        <w:t>. Palbociclib is available in some provinces and ribociclib may become an available treatment option in the future. In what clinical scenarios would abemaciclib, ribociclib, or palbociclib be the preferred treatment in combination with an aromatase inhibitor as initial endocrine-based therapy for advanced or metastatic breast cancer? Please comment on the preference considering patient preference, efficacy, safety, and administration</w:t>
      </w:r>
      <w:r w:rsidR="00216C7C">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0028EA" w14:paraId="5247003C" w14:textId="77777777" w:rsidTr="000028EA">
        <w:tc>
          <w:tcPr>
            <w:tcW w:w="10346" w:type="dxa"/>
          </w:tcPr>
          <w:p w14:paraId="1A9DFF71" w14:textId="77777777" w:rsidR="000028EA" w:rsidRDefault="000028EA" w:rsidP="00FB5292">
            <w:pPr>
              <w:pStyle w:val="pCODR01AppendixHeader"/>
              <w:rPr>
                <w:rFonts w:ascii="Arial" w:hAnsi="Arial" w:cs="Arial"/>
                <w:spacing w:val="0"/>
              </w:rPr>
            </w:pPr>
            <w:bookmarkStart w:id="9" w:name="_Appendix_A:_pCODR"/>
            <w:bookmarkStart w:id="10" w:name="_Toc439923603"/>
            <w:bookmarkEnd w:id="9"/>
          </w:p>
          <w:p w14:paraId="263B76BD" w14:textId="77777777" w:rsidR="000028EA" w:rsidRDefault="000028EA" w:rsidP="00FB5292">
            <w:pPr>
              <w:pStyle w:val="pCODR01AppendixHeader"/>
              <w:rPr>
                <w:rFonts w:ascii="Arial" w:hAnsi="Arial" w:cs="Arial"/>
                <w:spacing w:val="0"/>
              </w:rPr>
            </w:pPr>
          </w:p>
        </w:tc>
      </w:tr>
    </w:tbl>
    <w:p w14:paraId="0AE0D783" w14:textId="77777777" w:rsidR="00D8302B" w:rsidRPr="00EB0EEF" w:rsidRDefault="00D8302B" w:rsidP="00FB5292">
      <w:pPr>
        <w:pStyle w:val="pCODR01AppendixHeader"/>
        <w:rPr>
          <w:rFonts w:ascii="Arial" w:hAnsi="Arial" w:cs="Arial"/>
          <w:spacing w:val="0"/>
        </w:rPr>
      </w:pPr>
    </w:p>
    <w:p w14:paraId="37480FF9" w14:textId="77777777" w:rsidR="00D8302B" w:rsidRPr="00EB0EEF" w:rsidRDefault="00D8302B">
      <w:pPr>
        <w:rPr>
          <w:rFonts w:ascii="Arial" w:eastAsia="Times New Roman" w:hAnsi="Arial" w:cs="Arial"/>
          <w:b/>
          <w:kern w:val="28"/>
          <w:sz w:val="28"/>
        </w:rPr>
      </w:pPr>
      <w:r w:rsidRPr="00EB0EEF">
        <w:rPr>
          <w:rFonts w:ascii="Arial" w:hAnsi="Arial" w:cs="Arial"/>
        </w:rPr>
        <w:br w:type="page"/>
      </w:r>
    </w:p>
    <w:p w14:paraId="179EB68B" w14:textId="6EB8815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10"/>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23C8F399" w:rsidR="0013642F" w:rsidRDefault="0013642F">
      <w:pPr>
        <w:rPr>
          <w:rFonts w:ascii="Arial" w:hAnsi="Arial" w:cs="Arial"/>
          <w:sz w:val="18"/>
          <w:szCs w:val="18"/>
        </w:rPr>
      </w:pPr>
      <w:r>
        <w:rPr>
          <w:rFonts w:ascii="Arial" w:hAnsi="Arial" w:cs="Arial"/>
          <w:sz w:val="18"/>
          <w:szCs w:val="18"/>
        </w:rPr>
        <w:br w:type="page"/>
      </w:r>
    </w:p>
    <w:p w14:paraId="35952D98" w14:textId="1F9D9ECC" w:rsidR="0013642F" w:rsidRDefault="0013642F" w:rsidP="0013642F">
      <w:pPr>
        <w:pStyle w:val="pCODR01AppendixHeader"/>
      </w:pPr>
      <w:r w:rsidRPr="00FB5292">
        <w:lastRenderedPageBreak/>
        <w:t>Appendix</w:t>
      </w:r>
      <w:r w:rsidRPr="00F90A13">
        <w:t xml:space="preserve"> B</w:t>
      </w:r>
      <w:r w:rsidRPr="00FB5292">
        <w:t xml:space="preserve">: </w:t>
      </w:r>
      <w:r>
        <w:t xml:space="preserve">Provincial Funding of </w:t>
      </w:r>
      <w:r w:rsidRPr="00F90A13">
        <w:t xml:space="preserve">Treatments for </w:t>
      </w:r>
      <w:r w:rsidRPr="00914246">
        <w:rPr>
          <w:szCs w:val="28"/>
        </w:rPr>
        <w:t>Metastatic Breast Cancer</w:t>
      </w:r>
    </w:p>
    <w:p w14:paraId="3702DF29" w14:textId="35C1AC59" w:rsidR="0013642F" w:rsidRDefault="0013642F" w:rsidP="0013642F">
      <w:pPr>
        <w:pStyle w:val="pCODR01AppendixHeader"/>
        <w:rPr>
          <w:b w:val="0"/>
          <w:sz w:val="22"/>
          <w:szCs w:val="22"/>
        </w:rPr>
      </w:pPr>
      <w:r>
        <w:rPr>
          <w:b w:val="0"/>
          <w:sz w:val="22"/>
          <w:szCs w:val="22"/>
        </w:rPr>
        <w:t>As of September 4, 2018</w:t>
      </w:r>
    </w:p>
    <w:p w14:paraId="54D00915" w14:textId="77777777" w:rsidR="0013642F" w:rsidRDefault="0013642F" w:rsidP="0013642F">
      <w:pPr>
        <w:pStyle w:val="pCODR01AppendixHeader"/>
        <w:rPr>
          <w:b w:val="0"/>
          <w:sz w:val="22"/>
          <w:szCs w:val="22"/>
        </w:rPr>
      </w:pPr>
      <w:r w:rsidRPr="002A7B65">
        <w:rPr>
          <w:b w:val="0"/>
          <w:sz w:val="22"/>
          <w:szCs w:val="22"/>
        </w:rPr>
        <w:t>NOTE: All drugs subjected to eligibility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690"/>
        <w:gridCol w:w="1420"/>
        <w:gridCol w:w="1473"/>
        <w:gridCol w:w="1499"/>
        <w:gridCol w:w="1419"/>
        <w:gridCol w:w="1428"/>
        <w:gridCol w:w="1415"/>
        <w:gridCol w:w="1424"/>
      </w:tblGrid>
      <w:tr w:rsidR="0013642F" w:rsidRPr="0013642F" w14:paraId="2F3B557A" w14:textId="77777777" w:rsidTr="00AA7C3F">
        <w:trPr>
          <w:trHeight w:val="198"/>
        </w:trPr>
        <w:tc>
          <w:tcPr>
            <w:tcW w:w="320" w:type="pct"/>
            <w:shd w:val="clear" w:color="auto" w:fill="F2F2F2" w:themeFill="background1" w:themeFillShade="F2"/>
          </w:tcPr>
          <w:p w14:paraId="29590ACB" w14:textId="77777777" w:rsidR="0013642F" w:rsidRPr="0013642F" w:rsidRDefault="0013642F" w:rsidP="0013642F">
            <w:pPr>
              <w:spacing w:after="0"/>
              <w:contextualSpacing/>
              <w:jc w:val="center"/>
              <w:rPr>
                <w:b/>
                <w:bCs/>
                <w:szCs w:val="20"/>
              </w:rPr>
            </w:pPr>
          </w:p>
        </w:tc>
        <w:tc>
          <w:tcPr>
            <w:tcW w:w="659" w:type="pct"/>
            <w:shd w:val="clear" w:color="auto" w:fill="F2F2F2" w:themeFill="background1" w:themeFillShade="F2"/>
          </w:tcPr>
          <w:p w14:paraId="57FFDB25" w14:textId="77777777" w:rsidR="0013642F" w:rsidRPr="0013642F" w:rsidRDefault="0013642F" w:rsidP="0013642F">
            <w:pPr>
              <w:spacing w:after="0"/>
              <w:contextualSpacing/>
              <w:jc w:val="center"/>
              <w:rPr>
                <w:b/>
                <w:bCs/>
                <w:szCs w:val="20"/>
              </w:rPr>
            </w:pPr>
            <w:r w:rsidRPr="0013642F">
              <w:rPr>
                <w:b/>
                <w:bCs/>
                <w:szCs w:val="20"/>
              </w:rPr>
              <w:t>Letrozole</w:t>
            </w:r>
          </w:p>
        </w:tc>
        <w:tc>
          <w:tcPr>
            <w:tcW w:w="684" w:type="pct"/>
            <w:shd w:val="clear" w:color="auto" w:fill="F2F2F2" w:themeFill="background1" w:themeFillShade="F2"/>
          </w:tcPr>
          <w:p w14:paraId="0D870CA3" w14:textId="77777777" w:rsidR="0013642F" w:rsidRPr="0013642F" w:rsidRDefault="0013642F" w:rsidP="0013642F">
            <w:pPr>
              <w:spacing w:after="0"/>
              <w:contextualSpacing/>
              <w:jc w:val="center"/>
              <w:rPr>
                <w:b/>
                <w:bCs/>
                <w:szCs w:val="20"/>
              </w:rPr>
            </w:pPr>
            <w:r w:rsidRPr="0013642F">
              <w:rPr>
                <w:b/>
                <w:bCs/>
                <w:szCs w:val="20"/>
              </w:rPr>
              <w:t>Anastrozole</w:t>
            </w:r>
          </w:p>
        </w:tc>
        <w:tc>
          <w:tcPr>
            <w:tcW w:w="696" w:type="pct"/>
            <w:shd w:val="clear" w:color="auto" w:fill="F2F2F2" w:themeFill="background1" w:themeFillShade="F2"/>
          </w:tcPr>
          <w:p w14:paraId="10FC75CD" w14:textId="77777777" w:rsidR="0013642F" w:rsidRPr="0013642F" w:rsidRDefault="0013642F" w:rsidP="0013642F">
            <w:pPr>
              <w:spacing w:after="0"/>
              <w:contextualSpacing/>
              <w:jc w:val="center"/>
              <w:rPr>
                <w:b/>
                <w:bCs/>
                <w:szCs w:val="20"/>
              </w:rPr>
            </w:pPr>
            <w:r w:rsidRPr="0013642F">
              <w:rPr>
                <w:b/>
                <w:bCs/>
                <w:szCs w:val="20"/>
              </w:rPr>
              <w:t xml:space="preserve">Exemestane </w:t>
            </w:r>
          </w:p>
        </w:tc>
        <w:tc>
          <w:tcPr>
            <w:tcW w:w="659" w:type="pct"/>
            <w:shd w:val="clear" w:color="auto" w:fill="F2F2F2" w:themeFill="background1" w:themeFillShade="F2"/>
          </w:tcPr>
          <w:p w14:paraId="403FEFDF" w14:textId="77777777" w:rsidR="0013642F" w:rsidRPr="0013642F" w:rsidRDefault="0013642F" w:rsidP="0013642F">
            <w:pPr>
              <w:spacing w:after="0"/>
              <w:contextualSpacing/>
              <w:jc w:val="center"/>
              <w:rPr>
                <w:b/>
                <w:bCs/>
                <w:szCs w:val="20"/>
              </w:rPr>
            </w:pPr>
            <w:r w:rsidRPr="0013642F">
              <w:rPr>
                <w:b/>
                <w:bCs/>
                <w:szCs w:val="20"/>
              </w:rPr>
              <w:t>Everolimus</w:t>
            </w:r>
          </w:p>
        </w:tc>
        <w:tc>
          <w:tcPr>
            <w:tcW w:w="663" w:type="pct"/>
            <w:shd w:val="clear" w:color="auto" w:fill="F2F2F2" w:themeFill="background1" w:themeFillShade="F2"/>
          </w:tcPr>
          <w:p w14:paraId="6FE212E7" w14:textId="77777777" w:rsidR="0013642F" w:rsidRPr="0013642F" w:rsidRDefault="0013642F" w:rsidP="0013642F">
            <w:pPr>
              <w:spacing w:after="0"/>
              <w:contextualSpacing/>
              <w:jc w:val="center"/>
              <w:rPr>
                <w:b/>
                <w:bCs/>
                <w:szCs w:val="20"/>
              </w:rPr>
            </w:pPr>
            <w:r w:rsidRPr="0013642F">
              <w:rPr>
                <w:b/>
                <w:bCs/>
                <w:szCs w:val="20"/>
              </w:rPr>
              <w:t>Fulvestrant</w:t>
            </w:r>
          </w:p>
        </w:tc>
        <w:tc>
          <w:tcPr>
            <w:tcW w:w="657" w:type="pct"/>
            <w:shd w:val="clear" w:color="auto" w:fill="F2F2F2" w:themeFill="background1" w:themeFillShade="F2"/>
          </w:tcPr>
          <w:p w14:paraId="4EFC2067" w14:textId="77777777" w:rsidR="0013642F" w:rsidRPr="0013642F" w:rsidRDefault="0013642F" w:rsidP="0013642F">
            <w:pPr>
              <w:spacing w:after="0"/>
              <w:contextualSpacing/>
              <w:jc w:val="center"/>
              <w:rPr>
                <w:b/>
                <w:bCs/>
                <w:szCs w:val="20"/>
              </w:rPr>
            </w:pPr>
            <w:r w:rsidRPr="0013642F">
              <w:rPr>
                <w:b/>
                <w:bCs/>
                <w:szCs w:val="20"/>
              </w:rPr>
              <w:t>Palbociclib + Letrozole</w:t>
            </w:r>
          </w:p>
        </w:tc>
        <w:tc>
          <w:tcPr>
            <w:tcW w:w="661" w:type="pct"/>
            <w:shd w:val="clear" w:color="auto" w:fill="F2F2F2" w:themeFill="background1" w:themeFillShade="F2"/>
          </w:tcPr>
          <w:p w14:paraId="3973EC41" w14:textId="77777777" w:rsidR="0013642F" w:rsidRPr="0013642F" w:rsidRDefault="0013642F" w:rsidP="0013642F">
            <w:pPr>
              <w:spacing w:after="0"/>
              <w:contextualSpacing/>
              <w:jc w:val="center"/>
              <w:rPr>
                <w:b/>
                <w:bCs/>
                <w:szCs w:val="20"/>
              </w:rPr>
            </w:pPr>
            <w:r w:rsidRPr="0013642F">
              <w:rPr>
                <w:b/>
                <w:bCs/>
                <w:szCs w:val="20"/>
              </w:rPr>
              <w:t xml:space="preserve">Ribociclib + Letrozole </w:t>
            </w:r>
          </w:p>
        </w:tc>
      </w:tr>
      <w:tr w:rsidR="0013642F" w:rsidRPr="0013642F" w14:paraId="40CD8527" w14:textId="77777777" w:rsidTr="00AA7C3F">
        <w:trPr>
          <w:trHeight w:val="306"/>
        </w:trPr>
        <w:tc>
          <w:tcPr>
            <w:tcW w:w="320" w:type="pct"/>
            <w:shd w:val="clear" w:color="auto" w:fill="auto"/>
            <w:hideMark/>
          </w:tcPr>
          <w:p w14:paraId="124AF753" w14:textId="77777777" w:rsidR="0013642F" w:rsidRPr="0013642F" w:rsidRDefault="0013642F" w:rsidP="0013642F">
            <w:pPr>
              <w:spacing w:after="0"/>
              <w:contextualSpacing/>
              <w:jc w:val="center"/>
              <w:rPr>
                <w:szCs w:val="20"/>
              </w:rPr>
            </w:pPr>
            <w:r w:rsidRPr="0013642F">
              <w:rPr>
                <w:szCs w:val="20"/>
              </w:rPr>
              <w:t>BC</w:t>
            </w:r>
          </w:p>
        </w:tc>
        <w:tc>
          <w:tcPr>
            <w:tcW w:w="659" w:type="pct"/>
            <w:shd w:val="clear" w:color="auto" w:fill="auto"/>
            <w:tcMar>
              <w:top w:w="72" w:type="dxa"/>
              <w:left w:w="144" w:type="dxa"/>
              <w:bottom w:w="72" w:type="dxa"/>
              <w:right w:w="144" w:type="dxa"/>
            </w:tcMar>
          </w:tcPr>
          <w:p w14:paraId="60FEE200" w14:textId="77777777" w:rsidR="0013642F" w:rsidRPr="0013642F" w:rsidRDefault="0013642F" w:rsidP="0013642F">
            <w:pPr>
              <w:spacing w:after="0"/>
              <w:contextualSpacing/>
              <w:jc w:val="center"/>
              <w:rPr>
                <w:szCs w:val="20"/>
              </w:rPr>
            </w:pPr>
            <w:r w:rsidRPr="0013642F">
              <w:rPr>
                <w:szCs w:val="20"/>
              </w:rPr>
              <w:sym w:font="Wingdings" w:char="F0FC"/>
            </w:r>
          </w:p>
        </w:tc>
        <w:tc>
          <w:tcPr>
            <w:tcW w:w="684" w:type="pct"/>
          </w:tcPr>
          <w:p w14:paraId="2D30F258" w14:textId="77777777" w:rsidR="0013642F" w:rsidRPr="0013642F" w:rsidRDefault="0013642F" w:rsidP="0013642F">
            <w:pPr>
              <w:spacing w:after="0"/>
              <w:contextualSpacing/>
              <w:jc w:val="center"/>
              <w:rPr>
                <w:szCs w:val="20"/>
              </w:rPr>
            </w:pPr>
            <w:r w:rsidRPr="0013642F">
              <w:rPr>
                <w:szCs w:val="20"/>
              </w:rPr>
              <w:sym w:font="Wingdings" w:char="F0FC"/>
            </w:r>
          </w:p>
        </w:tc>
        <w:tc>
          <w:tcPr>
            <w:tcW w:w="696" w:type="pct"/>
          </w:tcPr>
          <w:p w14:paraId="49CDD35D" w14:textId="77777777" w:rsidR="0013642F" w:rsidRPr="0013642F" w:rsidRDefault="0013642F" w:rsidP="0013642F">
            <w:pPr>
              <w:spacing w:after="0"/>
              <w:contextualSpacing/>
              <w:jc w:val="center"/>
              <w:rPr>
                <w:szCs w:val="20"/>
              </w:rPr>
            </w:pPr>
            <w:r w:rsidRPr="0013642F">
              <w:rPr>
                <w:szCs w:val="20"/>
              </w:rPr>
              <w:sym w:font="Wingdings" w:char="F0FC"/>
            </w:r>
          </w:p>
        </w:tc>
        <w:tc>
          <w:tcPr>
            <w:tcW w:w="659" w:type="pct"/>
          </w:tcPr>
          <w:p w14:paraId="783275DE" w14:textId="77777777" w:rsidR="0013642F" w:rsidRPr="0013642F" w:rsidRDefault="0013642F" w:rsidP="0013642F">
            <w:pPr>
              <w:spacing w:after="0"/>
              <w:contextualSpacing/>
              <w:jc w:val="center"/>
              <w:rPr>
                <w:szCs w:val="20"/>
              </w:rPr>
            </w:pPr>
            <w:r w:rsidRPr="0013642F">
              <w:rPr>
                <w:szCs w:val="20"/>
              </w:rPr>
              <w:sym w:font="Wingdings" w:char="F0FC"/>
            </w:r>
          </w:p>
        </w:tc>
        <w:tc>
          <w:tcPr>
            <w:tcW w:w="663" w:type="pct"/>
          </w:tcPr>
          <w:p w14:paraId="42E0B2BF" w14:textId="77777777" w:rsidR="0013642F" w:rsidRPr="0013642F" w:rsidRDefault="0013642F" w:rsidP="0013642F">
            <w:pPr>
              <w:spacing w:after="0"/>
              <w:jc w:val="center"/>
              <w:rPr>
                <w:szCs w:val="20"/>
              </w:rPr>
            </w:pPr>
            <w:r w:rsidRPr="0013642F">
              <w:rPr>
                <w:szCs w:val="20"/>
              </w:rPr>
              <w:t>†</w:t>
            </w:r>
          </w:p>
        </w:tc>
        <w:tc>
          <w:tcPr>
            <w:tcW w:w="657" w:type="pct"/>
          </w:tcPr>
          <w:p w14:paraId="41360ED8" w14:textId="77777777" w:rsidR="0013642F" w:rsidRPr="0013642F" w:rsidRDefault="0013642F" w:rsidP="0013642F">
            <w:pPr>
              <w:spacing w:after="0"/>
              <w:jc w:val="center"/>
              <w:rPr>
                <w:szCs w:val="20"/>
              </w:rPr>
            </w:pPr>
            <w:r w:rsidRPr="0013642F">
              <w:rPr>
                <w:szCs w:val="20"/>
              </w:rPr>
              <w:sym w:font="Wingdings" w:char="F0FC"/>
            </w:r>
          </w:p>
        </w:tc>
        <w:tc>
          <w:tcPr>
            <w:tcW w:w="661" w:type="pct"/>
          </w:tcPr>
          <w:p w14:paraId="51E45CEB" w14:textId="77777777" w:rsidR="0013642F" w:rsidRPr="0013642F" w:rsidRDefault="0013642F" w:rsidP="0013642F">
            <w:pPr>
              <w:spacing w:after="0"/>
              <w:jc w:val="center"/>
              <w:rPr>
                <w:szCs w:val="20"/>
              </w:rPr>
            </w:pPr>
            <w:r w:rsidRPr="0013642F">
              <w:rPr>
                <w:szCs w:val="20"/>
              </w:rPr>
              <w:t>†</w:t>
            </w:r>
          </w:p>
        </w:tc>
      </w:tr>
      <w:tr w:rsidR="0013642F" w:rsidRPr="0013642F" w14:paraId="7DA13DE6" w14:textId="77777777" w:rsidTr="00AA7C3F">
        <w:trPr>
          <w:trHeight w:val="306"/>
        </w:trPr>
        <w:tc>
          <w:tcPr>
            <w:tcW w:w="320" w:type="pct"/>
            <w:shd w:val="clear" w:color="auto" w:fill="auto"/>
            <w:hideMark/>
          </w:tcPr>
          <w:p w14:paraId="277A0495" w14:textId="77777777" w:rsidR="0013642F" w:rsidRPr="0013642F" w:rsidRDefault="0013642F" w:rsidP="0013642F">
            <w:pPr>
              <w:spacing w:after="0"/>
              <w:contextualSpacing/>
              <w:jc w:val="center"/>
              <w:rPr>
                <w:szCs w:val="20"/>
              </w:rPr>
            </w:pPr>
            <w:r w:rsidRPr="0013642F">
              <w:rPr>
                <w:szCs w:val="20"/>
              </w:rPr>
              <w:t>AB</w:t>
            </w:r>
          </w:p>
        </w:tc>
        <w:tc>
          <w:tcPr>
            <w:tcW w:w="659" w:type="pct"/>
            <w:shd w:val="clear" w:color="auto" w:fill="auto"/>
            <w:tcMar>
              <w:top w:w="72" w:type="dxa"/>
              <w:left w:w="144" w:type="dxa"/>
              <w:bottom w:w="72" w:type="dxa"/>
              <w:right w:w="144" w:type="dxa"/>
            </w:tcMar>
          </w:tcPr>
          <w:p w14:paraId="0F0E92B0" w14:textId="77777777" w:rsidR="0013642F" w:rsidRPr="0013642F" w:rsidRDefault="0013642F" w:rsidP="0013642F">
            <w:pPr>
              <w:spacing w:after="0"/>
              <w:contextualSpacing/>
              <w:jc w:val="center"/>
              <w:rPr>
                <w:szCs w:val="20"/>
              </w:rPr>
            </w:pPr>
            <w:r w:rsidRPr="0013642F">
              <w:rPr>
                <w:szCs w:val="20"/>
              </w:rPr>
              <w:sym w:font="Wingdings" w:char="F0FC"/>
            </w:r>
          </w:p>
        </w:tc>
        <w:tc>
          <w:tcPr>
            <w:tcW w:w="684" w:type="pct"/>
          </w:tcPr>
          <w:p w14:paraId="3D1E1326" w14:textId="77777777" w:rsidR="0013642F" w:rsidRPr="0013642F" w:rsidRDefault="0013642F" w:rsidP="0013642F">
            <w:pPr>
              <w:spacing w:after="0"/>
              <w:contextualSpacing/>
              <w:jc w:val="center"/>
              <w:rPr>
                <w:szCs w:val="20"/>
              </w:rPr>
            </w:pPr>
            <w:r w:rsidRPr="0013642F">
              <w:rPr>
                <w:szCs w:val="20"/>
              </w:rPr>
              <w:sym w:font="Wingdings" w:char="F0FC"/>
            </w:r>
          </w:p>
        </w:tc>
        <w:tc>
          <w:tcPr>
            <w:tcW w:w="696" w:type="pct"/>
          </w:tcPr>
          <w:p w14:paraId="45D16EE6" w14:textId="77777777" w:rsidR="0013642F" w:rsidRPr="0013642F" w:rsidRDefault="0013642F" w:rsidP="0013642F">
            <w:pPr>
              <w:spacing w:after="0"/>
              <w:contextualSpacing/>
              <w:jc w:val="center"/>
              <w:rPr>
                <w:szCs w:val="20"/>
              </w:rPr>
            </w:pPr>
            <w:r w:rsidRPr="0013642F">
              <w:rPr>
                <w:szCs w:val="20"/>
              </w:rPr>
              <w:sym w:font="Wingdings" w:char="F0FC"/>
            </w:r>
          </w:p>
        </w:tc>
        <w:tc>
          <w:tcPr>
            <w:tcW w:w="659" w:type="pct"/>
          </w:tcPr>
          <w:p w14:paraId="0E983C15" w14:textId="77777777" w:rsidR="0013642F" w:rsidRPr="0013642F" w:rsidRDefault="0013642F" w:rsidP="0013642F">
            <w:pPr>
              <w:spacing w:after="0"/>
              <w:contextualSpacing/>
              <w:jc w:val="center"/>
              <w:rPr>
                <w:szCs w:val="20"/>
              </w:rPr>
            </w:pPr>
            <w:r w:rsidRPr="0013642F">
              <w:rPr>
                <w:szCs w:val="20"/>
              </w:rPr>
              <w:sym w:font="Wingdings" w:char="F0FC"/>
            </w:r>
          </w:p>
        </w:tc>
        <w:tc>
          <w:tcPr>
            <w:tcW w:w="663" w:type="pct"/>
          </w:tcPr>
          <w:p w14:paraId="0145B2E5" w14:textId="77777777" w:rsidR="0013642F" w:rsidRPr="0013642F" w:rsidRDefault="0013642F" w:rsidP="0013642F">
            <w:pPr>
              <w:spacing w:after="0"/>
              <w:jc w:val="center"/>
              <w:rPr>
                <w:szCs w:val="20"/>
              </w:rPr>
            </w:pPr>
            <w:r w:rsidRPr="0013642F">
              <w:rPr>
                <w:szCs w:val="20"/>
              </w:rPr>
              <w:t>†</w:t>
            </w:r>
          </w:p>
        </w:tc>
        <w:tc>
          <w:tcPr>
            <w:tcW w:w="657" w:type="pct"/>
          </w:tcPr>
          <w:p w14:paraId="69ECB6AF" w14:textId="77777777" w:rsidR="0013642F" w:rsidRPr="0013642F" w:rsidRDefault="0013642F" w:rsidP="0013642F">
            <w:pPr>
              <w:spacing w:after="0"/>
              <w:jc w:val="center"/>
              <w:rPr>
                <w:szCs w:val="20"/>
              </w:rPr>
            </w:pPr>
            <w:r w:rsidRPr="0013642F">
              <w:rPr>
                <w:szCs w:val="20"/>
              </w:rPr>
              <w:sym w:font="Wingdings" w:char="F0FC"/>
            </w:r>
          </w:p>
        </w:tc>
        <w:tc>
          <w:tcPr>
            <w:tcW w:w="661" w:type="pct"/>
          </w:tcPr>
          <w:p w14:paraId="392939F5" w14:textId="77777777" w:rsidR="0013642F" w:rsidRPr="0013642F" w:rsidRDefault="0013642F" w:rsidP="0013642F">
            <w:pPr>
              <w:spacing w:after="0"/>
              <w:jc w:val="center"/>
              <w:rPr>
                <w:szCs w:val="20"/>
              </w:rPr>
            </w:pPr>
            <w:r w:rsidRPr="0013642F">
              <w:rPr>
                <w:szCs w:val="20"/>
              </w:rPr>
              <w:t>†</w:t>
            </w:r>
          </w:p>
        </w:tc>
      </w:tr>
      <w:tr w:rsidR="0013642F" w:rsidRPr="0013642F" w14:paraId="56E44E83" w14:textId="77777777" w:rsidTr="00AA7C3F">
        <w:trPr>
          <w:trHeight w:val="306"/>
        </w:trPr>
        <w:tc>
          <w:tcPr>
            <w:tcW w:w="320" w:type="pct"/>
            <w:shd w:val="clear" w:color="auto" w:fill="auto"/>
            <w:hideMark/>
          </w:tcPr>
          <w:p w14:paraId="2DD08EDA" w14:textId="77777777" w:rsidR="0013642F" w:rsidRPr="0013642F" w:rsidRDefault="0013642F" w:rsidP="0013642F">
            <w:pPr>
              <w:spacing w:after="0"/>
              <w:contextualSpacing/>
              <w:jc w:val="center"/>
              <w:rPr>
                <w:szCs w:val="20"/>
              </w:rPr>
            </w:pPr>
            <w:r w:rsidRPr="0013642F">
              <w:rPr>
                <w:szCs w:val="20"/>
              </w:rPr>
              <w:t>SK</w:t>
            </w:r>
          </w:p>
        </w:tc>
        <w:tc>
          <w:tcPr>
            <w:tcW w:w="659" w:type="pct"/>
            <w:shd w:val="clear" w:color="auto" w:fill="auto"/>
            <w:tcMar>
              <w:top w:w="72" w:type="dxa"/>
              <w:left w:w="144" w:type="dxa"/>
              <w:bottom w:w="72" w:type="dxa"/>
              <w:right w:w="144" w:type="dxa"/>
            </w:tcMar>
          </w:tcPr>
          <w:p w14:paraId="3505030F" w14:textId="77777777" w:rsidR="0013642F" w:rsidRPr="0013642F" w:rsidRDefault="0013642F" w:rsidP="0013642F">
            <w:pPr>
              <w:spacing w:after="0"/>
              <w:contextualSpacing/>
              <w:jc w:val="center"/>
              <w:rPr>
                <w:szCs w:val="20"/>
              </w:rPr>
            </w:pPr>
            <w:r w:rsidRPr="0013642F">
              <w:rPr>
                <w:szCs w:val="20"/>
              </w:rPr>
              <w:sym w:font="Wingdings" w:char="F0FC"/>
            </w:r>
          </w:p>
        </w:tc>
        <w:tc>
          <w:tcPr>
            <w:tcW w:w="684" w:type="pct"/>
          </w:tcPr>
          <w:p w14:paraId="1C532354" w14:textId="77777777" w:rsidR="0013642F" w:rsidRPr="0013642F" w:rsidRDefault="0013642F" w:rsidP="0013642F">
            <w:pPr>
              <w:spacing w:after="0"/>
              <w:contextualSpacing/>
              <w:jc w:val="center"/>
              <w:rPr>
                <w:szCs w:val="20"/>
              </w:rPr>
            </w:pPr>
            <w:r w:rsidRPr="0013642F">
              <w:rPr>
                <w:szCs w:val="20"/>
              </w:rPr>
              <w:sym w:font="Wingdings" w:char="F0FC"/>
            </w:r>
          </w:p>
        </w:tc>
        <w:tc>
          <w:tcPr>
            <w:tcW w:w="696" w:type="pct"/>
          </w:tcPr>
          <w:p w14:paraId="3C7F0EEE" w14:textId="77777777" w:rsidR="0013642F" w:rsidRPr="0013642F" w:rsidRDefault="0013642F" w:rsidP="0013642F">
            <w:pPr>
              <w:spacing w:after="0"/>
              <w:contextualSpacing/>
              <w:jc w:val="center"/>
              <w:rPr>
                <w:szCs w:val="20"/>
              </w:rPr>
            </w:pPr>
            <w:r w:rsidRPr="0013642F">
              <w:rPr>
                <w:szCs w:val="20"/>
              </w:rPr>
              <w:sym w:font="Wingdings" w:char="F0FC"/>
            </w:r>
          </w:p>
        </w:tc>
        <w:tc>
          <w:tcPr>
            <w:tcW w:w="659" w:type="pct"/>
          </w:tcPr>
          <w:p w14:paraId="716C89E3" w14:textId="77777777" w:rsidR="0013642F" w:rsidRPr="0013642F" w:rsidRDefault="0013642F" w:rsidP="0013642F">
            <w:pPr>
              <w:spacing w:after="0"/>
              <w:contextualSpacing/>
              <w:jc w:val="center"/>
              <w:rPr>
                <w:szCs w:val="20"/>
              </w:rPr>
            </w:pPr>
            <w:r w:rsidRPr="0013642F">
              <w:rPr>
                <w:szCs w:val="20"/>
              </w:rPr>
              <w:sym w:font="Wingdings" w:char="F0FC"/>
            </w:r>
          </w:p>
        </w:tc>
        <w:tc>
          <w:tcPr>
            <w:tcW w:w="663" w:type="pct"/>
          </w:tcPr>
          <w:p w14:paraId="6BF2C9F7" w14:textId="77777777" w:rsidR="0013642F" w:rsidRPr="0013642F" w:rsidRDefault="0013642F" w:rsidP="0013642F">
            <w:pPr>
              <w:spacing w:after="0"/>
              <w:jc w:val="center"/>
              <w:rPr>
                <w:szCs w:val="20"/>
              </w:rPr>
            </w:pPr>
            <w:r w:rsidRPr="0013642F">
              <w:rPr>
                <w:szCs w:val="20"/>
              </w:rPr>
              <w:t>†</w:t>
            </w:r>
          </w:p>
        </w:tc>
        <w:tc>
          <w:tcPr>
            <w:tcW w:w="657" w:type="pct"/>
          </w:tcPr>
          <w:p w14:paraId="5C3AF659" w14:textId="77777777" w:rsidR="0013642F" w:rsidRPr="0013642F" w:rsidRDefault="0013642F" w:rsidP="0013642F">
            <w:pPr>
              <w:spacing w:after="0"/>
              <w:jc w:val="center"/>
              <w:rPr>
                <w:szCs w:val="20"/>
              </w:rPr>
            </w:pPr>
            <w:r w:rsidRPr="0013642F">
              <w:rPr>
                <w:szCs w:val="20"/>
              </w:rPr>
              <w:sym w:font="Wingdings" w:char="F0FC"/>
            </w:r>
          </w:p>
        </w:tc>
        <w:tc>
          <w:tcPr>
            <w:tcW w:w="661" w:type="pct"/>
          </w:tcPr>
          <w:p w14:paraId="5D09AAA4" w14:textId="77777777" w:rsidR="0013642F" w:rsidRPr="0013642F" w:rsidRDefault="0013642F" w:rsidP="0013642F">
            <w:pPr>
              <w:spacing w:after="0"/>
              <w:jc w:val="center"/>
              <w:rPr>
                <w:szCs w:val="20"/>
              </w:rPr>
            </w:pPr>
            <w:r w:rsidRPr="0013642F">
              <w:rPr>
                <w:szCs w:val="20"/>
              </w:rPr>
              <w:t>†</w:t>
            </w:r>
          </w:p>
        </w:tc>
      </w:tr>
      <w:tr w:rsidR="0013642F" w:rsidRPr="0013642F" w14:paraId="25DD5D2A" w14:textId="77777777" w:rsidTr="00AA7C3F">
        <w:trPr>
          <w:trHeight w:val="306"/>
        </w:trPr>
        <w:tc>
          <w:tcPr>
            <w:tcW w:w="320" w:type="pct"/>
            <w:shd w:val="clear" w:color="auto" w:fill="auto"/>
            <w:hideMark/>
          </w:tcPr>
          <w:p w14:paraId="0FA4D7E0" w14:textId="77777777" w:rsidR="0013642F" w:rsidRPr="0013642F" w:rsidRDefault="0013642F" w:rsidP="0013642F">
            <w:pPr>
              <w:spacing w:after="0"/>
              <w:contextualSpacing/>
              <w:jc w:val="center"/>
              <w:rPr>
                <w:szCs w:val="20"/>
              </w:rPr>
            </w:pPr>
            <w:r w:rsidRPr="0013642F">
              <w:rPr>
                <w:szCs w:val="20"/>
              </w:rPr>
              <w:t>MB</w:t>
            </w:r>
          </w:p>
        </w:tc>
        <w:tc>
          <w:tcPr>
            <w:tcW w:w="659" w:type="pct"/>
            <w:shd w:val="clear" w:color="auto" w:fill="auto"/>
            <w:tcMar>
              <w:top w:w="72" w:type="dxa"/>
              <w:left w:w="144" w:type="dxa"/>
              <w:bottom w:w="72" w:type="dxa"/>
              <w:right w:w="144" w:type="dxa"/>
            </w:tcMar>
          </w:tcPr>
          <w:p w14:paraId="41FA6F83" w14:textId="77777777" w:rsidR="0013642F" w:rsidRPr="0013642F" w:rsidRDefault="0013642F" w:rsidP="0013642F">
            <w:pPr>
              <w:spacing w:after="0"/>
              <w:contextualSpacing/>
              <w:jc w:val="center"/>
              <w:rPr>
                <w:szCs w:val="20"/>
              </w:rPr>
            </w:pPr>
            <w:r w:rsidRPr="0013642F">
              <w:rPr>
                <w:szCs w:val="20"/>
              </w:rPr>
              <w:sym w:font="Wingdings" w:char="F0FC"/>
            </w:r>
          </w:p>
        </w:tc>
        <w:tc>
          <w:tcPr>
            <w:tcW w:w="684" w:type="pct"/>
          </w:tcPr>
          <w:p w14:paraId="3F94C4D7" w14:textId="77777777" w:rsidR="0013642F" w:rsidRPr="0013642F" w:rsidRDefault="0013642F" w:rsidP="0013642F">
            <w:pPr>
              <w:spacing w:after="0"/>
              <w:contextualSpacing/>
              <w:jc w:val="center"/>
              <w:rPr>
                <w:szCs w:val="20"/>
              </w:rPr>
            </w:pPr>
            <w:r w:rsidRPr="0013642F">
              <w:rPr>
                <w:szCs w:val="20"/>
              </w:rPr>
              <w:sym w:font="Wingdings" w:char="F0FC"/>
            </w:r>
          </w:p>
        </w:tc>
        <w:tc>
          <w:tcPr>
            <w:tcW w:w="696" w:type="pct"/>
          </w:tcPr>
          <w:p w14:paraId="49503430" w14:textId="77777777" w:rsidR="0013642F" w:rsidRPr="0013642F" w:rsidRDefault="0013642F" w:rsidP="0013642F">
            <w:pPr>
              <w:spacing w:after="0"/>
              <w:contextualSpacing/>
              <w:jc w:val="center"/>
              <w:rPr>
                <w:szCs w:val="20"/>
              </w:rPr>
            </w:pPr>
            <w:r w:rsidRPr="0013642F">
              <w:rPr>
                <w:szCs w:val="20"/>
              </w:rPr>
              <w:sym w:font="Wingdings" w:char="F0FC"/>
            </w:r>
          </w:p>
        </w:tc>
        <w:tc>
          <w:tcPr>
            <w:tcW w:w="659" w:type="pct"/>
          </w:tcPr>
          <w:p w14:paraId="24EEE53D" w14:textId="77777777" w:rsidR="0013642F" w:rsidRPr="0013642F" w:rsidRDefault="0013642F" w:rsidP="0013642F">
            <w:pPr>
              <w:spacing w:after="0"/>
              <w:contextualSpacing/>
              <w:jc w:val="center"/>
              <w:rPr>
                <w:szCs w:val="20"/>
              </w:rPr>
            </w:pPr>
            <w:r w:rsidRPr="0013642F">
              <w:rPr>
                <w:szCs w:val="20"/>
              </w:rPr>
              <w:sym w:font="Wingdings" w:char="F0FC"/>
            </w:r>
          </w:p>
        </w:tc>
        <w:tc>
          <w:tcPr>
            <w:tcW w:w="663" w:type="pct"/>
          </w:tcPr>
          <w:p w14:paraId="7BDD19CB" w14:textId="77777777" w:rsidR="0013642F" w:rsidRPr="0013642F" w:rsidRDefault="0013642F" w:rsidP="0013642F">
            <w:pPr>
              <w:spacing w:after="0"/>
              <w:jc w:val="center"/>
              <w:rPr>
                <w:szCs w:val="20"/>
              </w:rPr>
            </w:pPr>
            <w:r w:rsidRPr="0013642F">
              <w:rPr>
                <w:szCs w:val="20"/>
              </w:rPr>
              <w:t>†</w:t>
            </w:r>
          </w:p>
        </w:tc>
        <w:tc>
          <w:tcPr>
            <w:tcW w:w="657" w:type="pct"/>
          </w:tcPr>
          <w:p w14:paraId="6C336945" w14:textId="77777777" w:rsidR="0013642F" w:rsidRPr="0013642F" w:rsidRDefault="0013642F" w:rsidP="0013642F">
            <w:pPr>
              <w:spacing w:after="0"/>
              <w:jc w:val="center"/>
              <w:rPr>
                <w:szCs w:val="20"/>
              </w:rPr>
            </w:pPr>
            <w:r w:rsidRPr="0013642F">
              <w:rPr>
                <w:szCs w:val="20"/>
              </w:rPr>
              <w:sym w:font="Wingdings" w:char="F0FC"/>
            </w:r>
          </w:p>
        </w:tc>
        <w:tc>
          <w:tcPr>
            <w:tcW w:w="661" w:type="pct"/>
          </w:tcPr>
          <w:p w14:paraId="0B5A64E5" w14:textId="77777777" w:rsidR="0013642F" w:rsidRPr="0013642F" w:rsidRDefault="0013642F" w:rsidP="0013642F">
            <w:pPr>
              <w:spacing w:after="0"/>
              <w:jc w:val="center"/>
              <w:rPr>
                <w:szCs w:val="20"/>
              </w:rPr>
            </w:pPr>
            <w:r w:rsidRPr="0013642F">
              <w:rPr>
                <w:szCs w:val="20"/>
              </w:rPr>
              <w:t>†</w:t>
            </w:r>
          </w:p>
        </w:tc>
      </w:tr>
      <w:tr w:rsidR="0013642F" w:rsidRPr="0013642F" w14:paraId="61F514B2" w14:textId="77777777" w:rsidTr="00AA7C3F">
        <w:trPr>
          <w:trHeight w:val="306"/>
        </w:trPr>
        <w:tc>
          <w:tcPr>
            <w:tcW w:w="320" w:type="pct"/>
            <w:shd w:val="clear" w:color="auto" w:fill="auto"/>
            <w:hideMark/>
          </w:tcPr>
          <w:p w14:paraId="384BE209" w14:textId="77777777" w:rsidR="0013642F" w:rsidRPr="0013642F" w:rsidRDefault="0013642F" w:rsidP="0013642F">
            <w:pPr>
              <w:spacing w:after="0"/>
              <w:contextualSpacing/>
              <w:jc w:val="center"/>
              <w:rPr>
                <w:szCs w:val="20"/>
              </w:rPr>
            </w:pPr>
            <w:r w:rsidRPr="0013642F">
              <w:rPr>
                <w:szCs w:val="20"/>
              </w:rPr>
              <w:t>ON</w:t>
            </w:r>
          </w:p>
        </w:tc>
        <w:tc>
          <w:tcPr>
            <w:tcW w:w="659" w:type="pct"/>
            <w:shd w:val="clear" w:color="auto" w:fill="auto"/>
            <w:tcMar>
              <w:top w:w="72" w:type="dxa"/>
              <w:left w:w="144" w:type="dxa"/>
              <w:bottom w:w="72" w:type="dxa"/>
              <w:right w:w="144" w:type="dxa"/>
            </w:tcMar>
          </w:tcPr>
          <w:p w14:paraId="522B3B93" w14:textId="77777777" w:rsidR="0013642F" w:rsidRPr="0013642F" w:rsidRDefault="0013642F" w:rsidP="0013642F">
            <w:pPr>
              <w:spacing w:after="0"/>
              <w:contextualSpacing/>
              <w:jc w:val="center"/>
              <w:rPr>
                <w:szCs w:val="20"/>
              </w:rPr>
            </w:pPr>
            <w:r w:rsidRPr="0013642F">
              <w:rPr>
                <w:szCs w:val="20"/>
              </w:rPr>
              <w:sym w:font="Wingdings" w:char="F0FC"/>
            </w:r>
          </w:p>
        </w:tc>
        <w:tc>
          <w:tcPr>
            <w:tcW w:w="684" w:type="pct"/>
          </w:tcPr>
          <w:p w14:paraId="5F995B1B" w14:textId="77777777" w:rsidR="0013642F" w:rsidRPr="0013642F" w:rsidRDefault="0013642F" w:rsidP="0013642F">
            <w:pPr>
              <w:spacing w:after="0"/>
              <w:contextualSpacing/>
              <w:jc w:val="center"/>
              <w:rPr>
                <w:szCs w:val="20"/>
              </w:rPr>
            </w:pPr>
            <w:r w:rsidRPr="0013642F">
              <w:rPr>
                <w:szCs w:val="20"/>
              </w:rPr>
              <w:sym w:font="Wingdings" w:char="F0FC"/>
            </w:r>
          </w:p>
        </w:tc>
        <w:tc>
          <w:tcPr>
            <w:tcW w:w="696" w:type="pct"/>
          </w:tcPr>
          <w:p w14:paraId="1948F972" w14:textId="77777777" w:rsidR="0013642F" w:rsidRPr="0013642F" w:rsidRDefault="0013642F" w:rsidP="0013642F">
            <w:pPr>
              <w:spacing w:after="0"/>
              <w:contextualSpacing/>
              <w:jc w:val="center"/>
              <w:rPr>
                <w:szCs w:val="20"/>
              </w:rPr>
            </w:pPr>
            <w:r w:rsidRPr="0013642F">
              <w:rPr>
                <w:szCs w:val="20"/>
              </w:rPr>
              <w:sym w:font="Wingdings" w:char="F0FC"/>
            </w:r>
          </w:p>
        </w:tc>
        <w:tc>
          <w:tcPr>
            <w:tcW w:w="659" w:type="pct"/>
          </w:tcPr>
          <w:p w14:paraId="1F964DB4" w14:textId="77777777" w:rsidR="0013642F" w:rsidRPr="0013642F" w:rsidRDefault="0013642F" w:rsidP="0013642F">
            <w:pPr>
              <w:spacing w:after="0"/>
              <w:contextualSpacing/>
              <w:jc w:val="center"/>
              <w:rPr>
                <w:szCs w:val="20"/>
              </w:rPr>
            </w:pPr>
            <w:r w:rsidRPr="0013642F">
              <w:rPr>
                <w:szCs w:val="20"/>
              </w:rPr>
              <w:sym w:font="Wingdings" w:char="F0FC"/>
            </w:r>
          </w:p>
        </w:tc>
        <w:tc>
          <w:tcPr>
            <w:tcW w:w="663" w:type="pct"/>
          </w:tcPr>
          <w:p w14:paraId="642FAA36" w14:textId="77777777" w:rsidR="0013642F" w:rsidRPr="0013642F" w:rsidRDefault="0013642F" w:rsidP="0013642F">
            <w:pPr>
              <w:spacing w:after="0"/>
              <w:jc w:val="center"/>
              <w:rPr>
                <w:szCs w:val="20"/>
              </w:rPr>
            </w:pPr>
            <w:r w:rsidRPr="0013642F">
              <w:rPr>
                <w:szCs w:val="20"/>
              </w:rPr>
              <w:t>†</w:t>
            </w:r>
          </w:p>
        </w:tc>
        <w:tc>
          <w:tcPr>
            <w:tcW w:w="657" w:type="pct"/>
          </w:tcPr>
          <w:p w14:paraId="13A1BFD3" w14:textId="77777777" w:rsidR="0013642F" w:rsidRPr="0013642F" w:rsidRDefault="0013642F" w:rsidP="0013642F">
            <w:pPr>
              <w:spacing w:after="0"/>
              <w:jc w:val="center"/>
              <w:rPr>
                <w:szCs w:val="20"/>
              </w:rPr>
            </w:pPr>
            <w:r w:rsidRPr="0013642F">
              <w:rPr>
                <w:szCs w:val="20"/>
              </w:rPr>
              <w:sym w:font="Wingdings" w:char="F0FC"/>
            </w:r>
          </w:p>
        </w:tc>
        <w:tc>
          <w:tcPr>
            <w:tcW w:w="661" w:type="pct"/>
          </w:tcPr>
          <w:p w14:paraId="3F48ABD6" w14:textId="77777777" w:rsidR="0013642F" w:rsidRPr="0013642F" w:rsidRDefault="0013642F" w:rsidP="0013642F">
            <w:pPr>
              <w:spacing w:after="0"/>
              <w:jc w:val="center"/>
              <w:rPr>
                <w:szCs w:val="20"/>
              </w:rPr>
            </w:pPr>
            <w:r w:rsidRPr="0013642F">
              <w:rPr>
                <w:szCs w:val="20"/>
              </w:rPr>
              <w:t>†</w:t>
            </w:r>
          </w:p>
        </w:tc>
      </w:tr>
      <w:tr w:rsidR="0013642F" w:rsidRPr="0013642F" w14:paraId="7B1FAB7A" w14:textId="77777777" w:rsidTr="00AA7C3F">
        <w:trPr>
          <w:trHeight w:val="306"/>
        </w:trPr>
        <w:tc>
          <w:tcPr>
            <w:tcW w:w="320" w:type="pct"/>
            <w:shd w:val="clear" w:color="auto" w:fill="auto"/>
            <w:hideMark/>
          </w:tcPr>
          <w:p w14:paraId="1227D658" w14:textId="77777777" w:rsidR="0013642F" w:rsidRPr="0013642F" w:rsidRDefault="0013642F" w:rsidP="0013642F">
            <w:pPr>
              <w:spacing w:after="0"/>
              <w:contextualSpacing/>
              <w:jc w:val="center"/>
              <w:rPr>
                <w:szCs w:val="20"/>
              </w:rPr>
            </w:pPr>
            <w:r w:rsidRPr="0013642F">
              <w:rPr>
                <w:szCs w:val="20"/>
              </w:rPr>
              <w:t>NS</w:t>
            </w:r>
          </w:p>
        </w:tc>
        <w:tc>
          <w:tcPr>
            <w:tcW w:w="659" w:type="pct"/>
            <w:shd w:val="clear" w:color="auto" w:fill="auto"/>
            <w:tcMar>
              <w:top w:w="72" w:type="dxa"/>
              <w:left w:w="144" w:type="dxa"/>
              <w:bottom w:w="72" w:type="dxa"/>
              <w:right w:w="144" w:type="dxa"/>
            </w:tcMar>
          </w:tcPr>
          <w:p w14:paraId="1D56B41B" w14:textId="77777777" w:rsidR="0013642F" w:rsidRPr="0013642F" w:rsidRDefault="0013642F" w:rsidP="0013642F">
            <w:pPr>
              <w:spacing w:after="0"/>
              <w:contextualSpacing/>
              <w:jc w:val="center"/>
              <w:rPr>
                <w:szCs w:val="20"/>
              </w:rPr>
            </w:pPr>
            <w:r w:rsidRPr="0013642F">
              <w:rPr>
                <w:szCs w:val="20"/>
              </w:rPr>
              <w:sym w:font="Wingdings" w:char="F0FC"/>
            </w:r>
          </w:p>
        </w:tc>
        <w:tc>
          <w:tcPr>
            <w:tcW w:w="684" w:type="pct"/>
          </w:tcPr>
          <w:p w14:paraId="224823E3" w14:textId="77777777" w:rsidR="0013642F" w:rsidRPr="0013642F" w:rsidRDefault="0013642F" w:rsidP="0013642F">
            <w:pPr>
              <w:spacing w:after="0"/>
              <w:contextualSpacing/>
              <w:jc w:val="center"/>
              <w:rPr>
                <w:szCs w:val="20"/>
              </w:rPr>
            </w:pPr>
            <w:r w:rsidRPr="0013642F">
              <w:rPr>
                <w:szCs w:val="20"/>
              </w:rPr>
              <w:sym w:font="Wingdings" w:char="F0FC"/>
            </w:r>
          </w:p>
        </w:tc>
        <w:tc>
          <w:tcPr>
            <w:tcW w:w="696" w:type="pct"/>
          </w:tcPr>
          <w:p w14:paraId="44957828" w14:textId="77777777" w:rsidR="0013642F" w:rsidRPr="0013642F" w:rsidRDefault="0013642F" w:rsidP="0013642F">
            <w:pPr>
              <w:spacing w:after="0"/>
              <w:contextualSpacing/>
              <w:jc w:val="center"/>
              <w:rPr>
                <w:szCs w:val="20"/>
              </w:rPr>
            </w:pPr>
            <w:r w:rsidRPr="0013642F">
              <w:rPr>
                <w:szCs w:val="20"/>
              </w:rPr>
              <w:sym w:font="Wingdings" w:char="F0FB"/>
            </w:r>
          </w:p>
        </w:tc>
        <w:tc>
          <w:tcPr>
            <w:tcW w:w="659" w:type="pct"/>
          </w:tcPr>
          <w:p w14:paraId="352F7551" w14:textId="77777777" w:rsidR="0013642F" w:rsidRPr="0013642F" w:rsidRDefault="0013642F" w:rsidP="0013642F">
            <w:pPr>
              <w:spacing w:after="0"/>
              <w:contextualSpacing/>
              <w:jc w:val="center"/>
              <w:rPr>
                <w:szCs w:val="20"/>
              </w:rPr>
            </w:pPr>
            <w:r w:rsidRPr="0013642F">
              <w:rPr>
                <w:szCs w:val="20"/>
              </w:rPr>
              <w:sym w:font="Wingdings" w:char="F0FC"/>
            </w:r>
          </w:p>
        </w:tc>
        <w:tc>
          <w:tcPr>
            <w:tcW w:w="663" w:type="pct"/>
          </w:tcPr>
          <w:p w14:paraId="78B475A5" w14:textId="77777777" w:rsidR="0013642F" w:rsidRPr="0013642F" w:rsidRDefault="0013642F" w:rsidP="0013642F">
            <w:pPr>
              <w:spacing w:after="0"/>
              <w:jc w:val="center"/>
              <w:rPr>
                <w:szCs w:val="20"/>
              </w:rPr>
            </w:pPr>
            <w:r w:rsidRPr="0013642F">
              <w:rPr>
                <w:szCs w:val="20"/>
              </w:rPr>
              <w:t>†</w:t>
            </w:r>
          </w:p>
        </w:tc>
        <w:tc>
          <w:tcPr>
            <w:tcW w:w="657" w:type="pct"/>
          </w:tcPr>
          <w:p w14:paraId="3E12373F" w14:textId="77777777" w:rsidR="0013642F" w:rsidRPr="0013642F" w:rsidRDefault="0013642F" w:rsidP="0013642F">
            <w:pPr>
              <w:spacing w:after="0"/>
              <w:jc w:val="center"/>
              <w:rPr>
                <w:szCs w:val="20"/>
              </w:rPr>
            </w:pPr>
            <w:r w:rsidRPr="0013642F">
              <w:rPr>
                <w:szCs w:val="20"/>
              </w:rPr>
              <w:t>†</w:t>
            </w:r>
          </w:p>
        </w:tc>
        <w:tc>
          <w:tcPr>
            <w:tcW w:w="661" w:type="pct"/>
          </w:tcPr>
          <w:p w14:paraId="5BDE52E9" w14:textId="77777777" w:rsidR="0013642F" w:rsidRPr="0013642F" w:rsidRDefault="0013642F" w:rsidP="0013642F">
            <w:pPr>
              <w:spacing w:after="0"/>
              <w:jc w:val="center"/>
              <w:rPr>
                <w:szCs w:val="20"/>
              </w:rPr>
            </w:pPr>
            <w:r w:rsidRPr="0013642F">
              <w:rPr>
                <w:szCs w:val="20"/>
              </w:rPr>
              <w:t>†</w:t>
            </w:r>
          </w:p>
        </w:tc>
      </w:tr>
      <w:tr w:rsidR="0013642F" w:rsidRPr="0013642F" w14:paraId="2862F089" w14:textId="77777777" w:rsidTr="00AA7C3F">
        <w:trPr>
          <w:trHeight w:val="306"/>
        </w:trPr>
        <w:tc>
          <w:tcPr>
            <w:tcW w:w="320" w:type="pct"/>
            <w:shd w:val="clear" w:color="auto" w:fill="auto"/>
            <w:hideMark/>
          </w:tcPr>
          <w:p w14:paraId="09026AAC" w14:textId="77777777" w:rsidR="0013642F" w:rsidRPr="0013642F" w:rsidRDefault="0013642F" w:rsidP="0013642F">
            <w:pPr>
              <w:spacing w:after="0"/>
              <w:contextualSpacing/>
              <w:jc w:val="center"/>
              <w:rPr>
                <w:szCs w:val="20"/>
              </w:rPr>
            </w:pPr>
            <w:r w:rsidRPr="0013642F">
              <w:rPr>
                <w:szCs w:val="20"/>
              </w:rPr>
              <w:t>NB</w:t>
            </w:r>
          </w:p>
        </w:tc>
        <w:tc>
          <w:tcPr>
            <w:tcW w:w="659" w:type="pct"/>
            <w:shd w:val="clear" w:color="auto" w:fill="auto"/>
            <w:tcMar>
              <w:top w:w="72" w:type="dxa"/>
              <w:left w:w="144" w:type="dxa"/>
              <w:bottom w:w="72" w:type="dxa"/>
              <w:right w:w="144" w:type="dxa"/>
            </w:tcMar>
          </w:tcPr>
          <w:p w14:paraId="3CC30BFF" w14:textId="77777777" w:rsidR="0013642F" w:rsidRPr="0013642F" w:rsidRDefault="0013642F" w:rsidP="0013642F">
            <w:pPr>
              <w:spacing w:after="0"/>
              <w:contextualSpacing/>
              <w:jc w:val="center"/>
              <w:rPr>
                <w:szCs w:val="20"/>
              </w:rPr>
            </w:pPr>
            <w:r w:rsidRPr="0013642F">
              <w:rPr>
                <w:szCs w:val="20"/>
              </w:rPr>
              <w:sym w:font="Wingdings" w:char="F0FC"/>
            </w:r>
          </w:p>
        </w:tc>
        <w:tc>
          <w:tcPr>
            <w:tcW w:w="684" w:type="pct"/>
          </w:tcPr>
          <w:p w14:paraId="21B0025E" w14:textId="77777777" w:rsidR="0013642F" w:rsidRPr="0013642F" w:rsidRDefault="0013642F" w:rsidP="0013642F">
            <w:pPr>
              <w:spacing w:after="0"/>
              <w:contextualSpacing/>
              <w:jc w:val="center"/>
              <w:rPr>
                <w:szCs w:val="20"/>
              </w:rPr>
            </w:pPr>
            <w:r w:rsidRPr="0013642F">
              <w:rPr>
                <w:szCs w:val="20"/>
              </w:rPr>
              <w:sym w:font="Wingdings" w:char="F0FC"/>
            </w:r>
          </w:p>
        </w:tc>
        <w:tc>
          <w:tcPr>
            <w:tcW w:w="696" w:type="pct"/>
          </w:tcPr>
          <w:p w14:paraId="7857839F" w14:textId="77777777" w:rsidR="0013642F" w:rsidRPr="0013642F" w:rsidRDefault="0013642F" w:rsidP="0013642F">
            <w:pPr>
              <w:spacing w:after="0"/>
              <w:contextualSpacing/>
              <w:jc w:val="center"/>
              <w:rPr>
                <w:szCs w:val="20"/>
              </w:rPr>
            </w:pPr>
            <w:r w:rsidRPr="0013642F">
              <w:rPr>
                <w:szCs w:val="20"/>
              </w:rPr>
              <w:sym w:font="Wingdings" w:char="F0FC"/>
            </w:r>
          </w:p>
        </w:tc>
        <w:tc>
          <w:tcPr>
            <w:tcW w:w="659" w:type="pct"/>
          </w:tcPr>
          <w:p w14:paraId="506162CC" w14:textId="77777777" w:rsidR="0013642F" w:rsidRPr="0013642F" w:rsidRDefault="0013642F" w:rsidP="0013642F">
            <w:pPr>
              <w:spacing w:after="0"/>
              <w:contextualSpacing/>
              <w:jc w:val="center"/>
              <w:rPr>
                <w:szCs w:val="20"/>
              </w:rPr>
            </w:pPr>
            <w:r w:rsidRPr="0013642F">
              <w:rPr>
                <w:szCs w:val="20"/>
              </w:rPr>
              <w:sym w:font="Wingdings" w:char="F0FC"/>
            </w:r>
          </w:p>
        </w:tc>
        <w:tc>
          <w:tcPr>
            <w:tcW w:w="663" w:type="pct"/>
          </w:tcPr>
          <w:p w14:paraId="431805A6" w14:textId="77777777" w:rsidR="0013642F" w:rsidRPr="0013642F" w:rsidRDefault="0013642F" w:rsidP="0013642F">
            <w:pPr>
              <w:spacing w:after="0"/>
              <w:jc w:val="center"/>
              <w:rPr>
                <w:szCs w:val="20"/>
              </w:rPr>
            </w:pPr>
            <w:r w:rsidRPr="0013642F">
              <w:rPr>
                <w:szCs w:val="20"/>
              </w:rPr>
              <w:t>†</w:t>
            </w:r>
          </w:p>
        </w:tc>
        <w:tc>
          <w:tcPr>
            <w:tcW w:w="657" w:type="pct"/>
          </w:tcPr>
          <w:p w14:paraId="0B9D8D78" w14:textId="77777777" w:rsidR="0013642F" w:rsidRPr="0013642F" w:rsidRDefault="0013642F" w:rsidP="0013642F">
            <w:pPr>
              <w:spacing w:after="0"/>
              <w:jc w:val="center"/>
              <w:rPr>
                <w:szCs w:val="20"/>
              </w:rPr>
            </w:pPr>
            <w:r w:rsidRPr="0013642F">
              <w:rPr>
                <w:szCs w:val="20"/>
              </w:rPr>
              <w:sym w:font="Wingdings" w:char="F0FC"/>
            </w:r>
          </w:p>
        </w:tc>
        <w:tc>
          <w:tcPr>
            <w:tcW w:w="661" w:type="pct"/>
          </w:tcPr>
          <w:p w14:paraId="3648F81B" w14:textId="77777777" w:rsidR="0013642F" w:rsidRPr="0013642F" w:rsidRDefault="0013642F" w:rsidP="0013642F">
            <w:pPr>
              <w:spacing w:after="0"/>
              <w:jc w:val="center"/>
              <w:rPr>
                <w:szCs w:val="20"/>
              </w:rPr>
            </w:pPr>
            <w:r w:rsidRPr="0013642F">
              <w:rPr>
                <w:szCs w:val="20"/>
              </w:rPr>
              <w:t>†</w:t>
            </w:r>
          </w:p>
        </w:tc>
      </w:tr>
      <w:tr w:rsidR="0013642F" w:rsidRPr="0013642F" w14:paraId="3BE5C80C" w14:textId="77777777" w:rsidTr="00AA7C3F">
        <w:trPr>
          <w:trHeight w:val="306"/>
        </w:trPr>
        <w:tc>
          <w:tcPr>
            <w:tcW w:w="320" w:type="pct"/>
            <w:shd w:val="clear" w:color="auto" w:fill="auto"/>
            <w:hideMark/>
          </w:tcPr>
          <w:p w14:paraId="76B2919B" w14:textId="77777777" w:rsidR="0013642F" w:rsidRPr="0013642F" w:rsidRDefault="0013642F" w:rsidP="0013642F">
            <w:pPr>
              <w:spacing w:after="0"/>
              <w:contextualSpacing/>
              <w:jc w:val="center"/>
              <w:rPr>
                <w:szCs w:val="20"/>
              </w:rPr>
            </w:pPr>
            <w:r w:rsidRPr="0013642F">
              <w:rPr>
                <w:szCs w:val="20"/>
              </w:rPr>
              <w:t>NL</w:t>
            </w:r>
          </w:p>
        </w:tc>
        <w:tc>
          <w:tcPr>
            <w:tcW w:w="659" w:type="pct"/>
            <w:shd w:val="clear" w:color="auto" w:fill="auto"/>
            <w:tcMar>
              <w:top w:w="72" w:type="dxa"/>
              <w:left w:w="144" w:type="dxa"/>
              <w:bottom w:w="72" w:type="dxa"/>
              <w:right w:w="144" w:type="dxa"/>
            </w:tcMar>
          </w:tcPr>
          <w:p w14:paraId="3B88DF58" w14:textId="77777777" w:rsidR="0013642F" w:rsidRPr="0013642F" w:rsidRDefault="0013642F" w:rsidP="0013642F">
            <w:pPr>
              <w:spacing w:after="0"/>
              <w:contextualSpacing/>
              <w:jc w:val="center"/>
              <w:rPr>
                <w:szCs w:val="20"/>
              </w:rPr>
            </w:pPr>
            <w:r w:rsidRPr="0013642F">
              <w:rPr>
                <w:szCs w:val="20"/>
              </w:rPr>
              <w:sym w:font="Wingdings" w:char="F0FC"/>
            </w:r>
          </w:p>
        </w:tc>
        <w:tc>
          <w:tcPr>
            <w:tcW w:w="684" w:type="pct"/>
          </w:tcPr>
          <w:p w14:paraId="0CED0C83" w14:textId="77777777" w:rsidR="0013642F" w:rsidRPr="0013642F" w:rsidRDefault="0013642F" w:rsidP="0013642F">
            <w:pPr>
              <w:spacing w:after="0"/>
              <w:contextualSpacing/>
              <w:jc w:val="center"/>
              <w:rPr>
                <w:szCs w:val="20"/>
              </w:rPr>
            </w:pPr>
            <w:r w:rsidRPr="0013642F">
              <w:rPr>
                <w:szCs w:val="20"/>
              </w:rPr>
              <w:sym w:font="Wingdings" w:char="F0FC"/>
            </w:r>
          </w:p>
        </w:tc>
        <w:tc>
          <w:tcPr>
            <w:tcW w:w="696" w:type="pct"/>
          </w:tcPr>
          <w:p w14:paraId="7D05B363" w14:textId="77777777" w:rsidR="0013642F" w:rsidRPr="0013642F" w:rsidRDefault="0013642F" w:rsidP="0013642F">
            <w:pPr>
              <w:spacing w:after="0"/>
              <w:contextualSpacing/>
              <w:jc w:val="center"/>
              <w:rPr>
                <w:szCs w:val="20"/>
              </w:rPr>
            </w:pPr>
            <w:r w:rsidRPr="0013642F">
              <w:rPr>
                <w:szCs w:val="20"/>
              </w:rPr>
              <w:sym w:font="Wingdings" w:char="F0FC"/>
            </w:r>
          </w:p>
        </w:tc>
        <w:tc>
          <w:tcPr>
            <w:tcW w:w="659" w:type="pct"/>
          </w:tcPr>
          <w:p w14:paraId="5EBFC6D6" w14:textId="77777777" w:rsidR="0013642F" w:rsidRPr="0013642F" w:rsidRDefault="0013642F" w:rsidP="0013642F">
            <w:pPr>
              <w:spacing w:after="0"/>
              <w:contextualSpacing/>
              <w:jc w:val="center"/>
              <w:rPr>
                <w:szCs w:val="20"/>
              </w:rPr>
            </w:pPr>
            <w:r w:rsidRPr="0013642F">
              <w:rPr>
                <w:szCs w:val="20"/>
              </w:rPr>
              <w:sym w:font="Wingdings" w:char="F0FC"/>
            </w:r>
          </w:p>
        </w:tc>
        <w:tc>
          <w:tcPr>
            <w:tcW w:w="663" w:type="pct"/>
          </w:tcPr>
          <w:p w14:paraId="7E3BF2E7" w14:textId="77777777" w:rsidR="0013642F" w:rsidRPr="0013642F" w:rsidRDefault="0013642F" w:rsidP="0013642F">
            <w:pPr>
              <w:spacing w:after="0"/>
              <w:jc w:val="center"/>
              <w:rPr>
                <w:szCs w:val="20"/>
              </w:rPr>
            </w:pPr>
            <w:r w:rsidRPr="0013642F">
              <w:rPr>
                <w:szCs w:val="20"/>
              </w:rPr>
              <w:t>†</w:t>
            </w:r>
          </w:p>
        </w:tc>
        <w:tc>
          <w:tcPr>
            <w:tcW w:w="657" w:type="pct"/>
          </w:tcPr>
          <w:p w14:paraId="5CE28F16" w14:textId="77777777" w:rsidR="0013642F" w:rsidRPr="0013642F" w:rsidRDefault="0013642F" w:rsidP="0013642F">
            <w:pPr>
              <w:spacing w:after="0"/>
              <w:jc w:val="center"/>
              <w:rPr>
                <w:szCs w:val="20"/>
              </w:rPr>
            </w:pPr>
            <w:r w:rsidRPr="0013642F">
              <w:rPr>
                <w:szCs w:val="20"/>
              </w:rPr>
              <w:sym w:font="Wingdings" w:char="F0FC"/>
            </w:r>
          </w:p>
        </w:tc>
        <w:tc>
          <w:tcPr>
            <w:tcW w:w="661" w:type="pct"/>
          </w:tcPr>
          <w:p w14:paraId="7A9832E7" w14:textId="77777777" w:rsidR="0013642F" w:rsidRPr="0013642F" w:rsidRDefault="0013642F" w:rsidP="0013642F">
            <w:pPr>
              <w:spacing w:after="0"/>
              <w:jc w:val="center"/>
              <w:rPr>
                <w:szCs w:val="20"/>
              </w:rPr>
            </w:pPr>
            <w:r w:rsidRPr="0013642F">
              <w:rPr>
                <w:szCs w:val="20"/>
              </w:rPr>
              <w:t>†</w:t>
            </w:r>
          </w:p>
        </w:tc>
      </w:tr>
      <w:tr w:rsidR="0013642F" w:rsidRPr="0013642F" w14:paraId="45C4965F" w14:textId="77777777" w:rsidTr="00AA7C3F">
        <w:trPr>
          <w:trHeight w:val="306"/>
        </w:trPr>
        <w:tc>
          <w:tcPr>
            <w:tcW w:w="320" w:type="pct"/>
            <w:shd w:val="clear" w:color="auto" w:fill="auto"/>
            <w:hideMark/>
          </w:tcPr>
          <w:p w14:paraId="79383F36" w14:textId="77777777" w:rsidR="0013642F" w:rsidRPr="0013642F" w:rsidRDefault="0013642F" w:rsidP="0013642F">
            <w:pPr>
              <w:spacing w:after="0"/>
              <w:contextualSpacing/>
              <w:jc w:val="center"/>
              <w:rPr>
                <w:szCs w:val="20"/>
              </w:rPr>
            </w:pPr>
            <w:r w:rsidRPr="0013642F">
              <w:rPr>
                <w:szCs w:val="20"/>
              </w:rPr>
              <w:t>PEI</w:t>
            </w:r>
          </w:p>
        </w:tc>
        <w:tc>
          <w:tcPr>
            <w:tcW w:w="659" w:type="pct"/>
            <w:shd w:val="clear" w:color="auto" w:fill="auto"/>
            <w:tcMar>
              <w:top w:w="72" w:type="dxa"/>
              <w:left w:w="144" w:type="dxa"/>
              <w:bottom w:w="72" w:type="dxa"/>
              <w:right w:w="144" w:type="dxa"/>
            </w:tcMar>
          </w:tcPr>
          <w:p w14:paraId="7DDDE610" w14:textId="77777777" w:rsidR="0013642F" w:rsidRPr="0013642F" w:rsidRDefault="0013642F" w:rsidP="0013642F">
            <w:pPr>
              <w:spacing w:after="0"/>
              <w:contextualSpacing/>
              <w:jc w:val="center"/>
              <w:rPr>
                <w:szCs w:val="20"/>
              </w:rPr>
            </w:pPr>
            <w:r w:rsidRPr="0013642F">
              <w:rPr>
                <w:szCs w:val="20"/>
              </w:rPr>
              <w:sym w:font="Wingdings" w:char="F0FC"/>
            </w:r>
          </w:p>
        </w:tc>
        <w:tc>
          <w:tcPr>
            <w:tcW w:w="684" w:type="pct"/>
          </w:tcPr>
          <w:p w14:paraId="44CFDFEF" w14:textId="77777777" w:rsidR="0013642F" w:rsidRPr="0013642F" w:rsidRDefault="0013642F" w:rsidP="0013642F">
            <w:pPr>
              <w:spacing w:after="0"/>
              <w:contextualSpacing/>
              <w:jc w:val="center"/>
              <w:rPr>
                <w:szCs w:val="20"/>
              </w:rPr>
            </w:pPr>
            <w:r w:rsidRPr="0013642F">
              <w:rPr>
                <w:szCs w:val="20"/>
              </w:rPr>
              <w:sym w:font="Wingdings 2" w:char="F050"/>
            </w:r>
          </w:p>
        </w:tc>
        <w:tc>
          <w:tcPr>
            <w:tcW w:w="696" w:type="pct"/>
          </w:tcPr>
          <w:p w14:paraId="75CEB1DB" w14:textId="77777777" w:rsidR="0013642F" w:rsidRPr="0013642F" w:rsidRDefault="0013642F" w:rsidP="0013642F">
            <w:pPr>
              <w:spacing w:after="0"/>
              <w:contextualSpacing/>
              <w:jc w:val="center"/>
              <w:rPr>
                <w:szCs w:val="20"/>
              </w:rPr>
            </w:pPr>
            <w:r w:rsidRPr="0013642F">
              <w:rPr>
                <w:szCs w:val="20"/>
              </w:rPr>
              <w:sym w:font="Wingdings" w:char="F0FC"/>
            </w:r>
          </w:p>
        </w:tc>
        <w:tc>
          <w:tcPr>
            <w:tcW w:w="659" w:type="pct"/>
          </w:tcPr>
          <w:p w14:paraId="158A1D31" w14:textId="77777777" w:rsidR="0013642F" w:rsidRPr="0013642F" w:rsidRDefault="0013642F" w:rsidP="0013642F">
            <w:pPr>
              <w:spacing w:after="0"/>
              <w:contextualSpacing/>
              <w:jc w:val="center"/>
              <w:rPr>
                <w:szCs w:val="20"/>
              </w:rPr>
            </w:pPr>
            <w:r w:rsidRPr="0013642F">
              <w:rPr>
                <w:szCs w:val="20"/>
              </w:rPr>
              <w:sym w:font="Wingdings" w:char="F0FB"/>
            </w:r>
          </w:p>
        </w:tc>
        <w:tc>
          <w:tcPr>
            <w:tcW w:w="663" w:type="pct"/>
          </w:tcPr>
          <w:p w14:paraId="6E8E9360" w14:textId="77777777" w:rsidR="0013642F" w:rsidRPr="0013642F" w:rsidRDefault="0013642F" w:rsidP="0013642F">
            <w:pPr>
              <w:spacing w:after="0"/>
              <w:jc w:val="center"/>
              <w:rPr>
                <w:szCs w:val="20"/>
              </w:rPr>
            </w:pPr>
            <w:r w:rsidRPr="0013642F">
              <w:rPr>
                <w:szCs w:val="20"/>
              </w:rPr>
              <w:t>†</w:t>
            </w:r>
          </w:p>
        </w:tc>
        <w:tc>
          <w:tcPr>
            <w:tcW w:w="657" w:type="pct"/>
          </w:tcPr>
          <w:p w14:paraId="6EB8BB04" w14:textId="77777777" w:rsidR="0013642F" w:rsidRPr="0013642F" w:rsidRDefault="0013642F" w:rsidP="0013642F">
            <w:pPr>
              <w:spacing w:after="0"/>
              <w:jc w:val="center"/>
              <w:rPr>
                <w:szCs w:val="20"/>
              </w:rPr>
            </w:pPr>
            <w:r w:rsidRPr="0013642F">
              <w:rPr>
                <w:szCs w:val="20"/>
              </w:rPr>
              <w:t>†</w:t>
            </w:r>
          </w:p>
        </w:tc>
        <w:tc>
          <w:tcPr>
            <w:tcW w:w="661" w:type="pct"/>
          </w:tcPr>
          <w:p w14:paraId="3FEB6D15" w14:textId="77777777" w:rsidR="0013642F" w:rsidRPr="0013642F" w:rsidRDefault="0013642F" w:rsidP="0013642F">
            <w:pPr>
              <w:spacing w:after="0"/>
              <w:jc w:val="center"/>
              <w:rPr>
                <w:szCs w:val="20"/>
              </w:rPr>
            </w:pPr>
            <w:r w:rsidRPr="0013642F">
              <w:rPr>
                <w:szCs w:val="20"/>
              </w:rPr>
              <w:t>†</w:t>
            </w:r>
          </w:p>
        </w:tc>
      </w:tr>
    </w:tbl>
    <w:p w14:paraId="46496784" w14:textId="77777777" w:rsidR="0013642F" w:rsidRDefault="0013642F" w:rsidP="0013642F">
      <w:pPr>
        <w:rPr>
          <w:sz w:val="18"/>
          <w:szCs w:val="18"/>
        </w:rPr>
      </w:pPr>
      <w:r w:rsidRPr="00F90A13">
        <w:rPr>
          <w:sz w:val="21"/>
        </w:rPr>
        <w:t xml:space="preserve">Legend: </w:t>
      </w:r>
      <w:r w:rsidRPr="00F90A13">
        <w:rPr>
          <w:sz w:val="18"/>
          <w:szCs w:val="18"/>
        </w:rPr>
        <w:sym w:font="Wingdings 2" w:char="F050"/>
      </w:r>
      <w:r>
        <w:rPr>
          <w:sz w:val="18"/>
          <w:szCs w:val="18"/>
        </w:rPr>
        <w:t xml:space="preserve"> Funded, </w:t>
      </w:r>
      <w:r w:rsidRPr="00F90A13">
        <w:rPr>
          <w:sz w:val="18"/>
          <w:szCs w:val="18"/>
        </w:rPr>
        <w:sym w:font="Wingdings" w:char="F0FB"/>
      </w:r>
      <w:r>
        <w:rPr>
          <w:sz w:val="18"/>
          <w:szCs w:val="18"/>
        </w:rPr>
        <w:t xml:space="preserve"> Not funded, </w:t>
      </w:r>
      <w:r w:rsidRPr="00F90A13">
        <w:rPr>
          <w:sz w:val="18"/>
          <w:szCs w:val="18"/>
        </w:rPr>
        <w:t>†</w:t>
      </w:r>
      <w:r>
        <w:rPr>
          <w:sz w:val="18"/>
          <w:szCs w:val="18"/>
        </w:rPr>
        <w:t xml:space="preserve"> Funding decision pending</w:t>
      </w:r>
    </w:p>
    <w:p w14:paraId="6F35E8BB" w14:textId="77777777"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F1C8F"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E75736">
                            <w:rPr>
                              <w:rFonts w:ascii="Arial" w:hAnsi="Arial" w:cs="Arial"/>
                              <w:noProof/>
                              <w:sz w:val="14"/>
                              <w:szCs w:val="14"/>
                            </w:rPr>
                            <w:t>7</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E75736">
                      <w:rPr>
                        <w:rFonts w:ascii="Arial" w:hAnsi="Arial" w:cs="Arial"/>
                        <w:noProof/>
                        <w:sz w:val="14"/>
                        <w:szCs w:val="14"/>
                      </w:rPr>
                      <w:t>7</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2BA22"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E75736">
                            <w:rPr>
                              <w:rFonts w:ascii="Arial" w:hAnsi="Arial" w:cs="Arial"/>
                              <w:noProof/>
                              <w:sz w:val="14"/>
                              <w:szCs w:val="14"/>
                            </w:rPr>
                            <w:t>2</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E75736">
                      <w:rPr>
                        <w:rFonts w:ascii="Arial" w:hAnsi="Arial" w:cs="Arial"/>
                        <w:noProof/>
                        <w:sz w:val="14"/>
                        <w:szCs w:val="14"/>
                      </w:rPr>
                      <w:t>2</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0D01BED"/>
    <w:multiLevelType w:val="hybridMultilevel"/>
    <w:tmpl w:val="A0BE1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0"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5"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6"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6CF7C08"/>
    <w:multiLevelType w:val="hybridMultilevel"/>
    <w:tmpl w:val="135295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7"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8"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1"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FF479D"/>
    <w:multiLevelType w:val="hybridMultilevel"/>
    <w:tmpl w:val="4A94A0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4"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5"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6"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8"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3"/>
  </w:num>
  <w:num w:numId="16">
    <w:abstractNumId w:val="27"/>
  </w:num>
  <w:num w:numId="17">
    <w:abstractNumId w:val="31"/>
  </w:num>
  <w:num w:numId="18">
    <w:abstractNumId w:val="48"/>
  </w:num>
  <w:num w:numId="19">
    <w:abstractNumId w:val="29"/>
  </w:num>
  <w:num w:numId="20">
    <w:abstractNumId w:val="11"/>
  </w:num>
  <w:num w:numId="21">
    <w:abstractNumId w:val="9"/>
  </w:num>
  <w:num w:numId="22">
    <w:abstractNumId w:val="28"/>
  </w:num>
  <w:num w:numId="23">
    <w:abstractNumId w:val="46"/>
  </w:num>
  <w:num w:numId="24">
    <w:abstractNumId w:val="15"/>
  </w:num>
  <w:num w:numId="25">
    <w:abstractNumId w:val="26"/>
  </w:num>
  <w:num w:numId="26">
    <w:abstractNumId w:val="37"/>
  </w:num>
  <w:num w:numId="27">
    <w:abstractNumId w:val="20"/>
  </w:num>
  <w:num w:numId="28">
    <w:abstractNumId w:val="25"/>
  </w:num>
  <w:num w:numId="29">
    <w:abstractNumId w:val="17"/>
  </w:num>
  <w:num w:numId="30">
    <w:abstractNumId w:val="44"/>
  </w:num>
  <w:num w:numId="31">
    <w:abstractNumId w:val="39"/>
  </w:num>
  <w:num w:numId="32">
    <w:abstractNumId w:val="47"/>
    <w:lvlOverride w:ilvl="0">
      <w:startOverride w:val="1"/>
    </w:lvlOverride>
  </w:num>
  <w:num w:numId="33">
    <w:abstractNumId w:val="36"/>
    <w:lvlOverride w:ilvl="0">
      <w:startOverride w:val="1"/>
    </w:lvlOverride>
  </w:num>
  <w:num w:numId="34">
    <w:abstractNumId w:val="38"/>
  </w:num>
  <w:num w:numId="35">
    <w:abstractNumId w:val="24"/>
  </w:num>
  <w:num w:numId="36">
    <w:abstractNumId w:val="23"/>
  </w:num>
  <w:num w:numId="37">
    <w:abstractNumId w:val="22"/>
  </w:num>
  <w:num w:numId="38">
    <w:abstractNumId w:val="12"/>
  </w:num>
  <w:num w:numId="39">
    <w:abstractNumId w:val="45"/>
  </w:num>
  <w:num w:numId="40">
    <w:abstractNumId w:val="16"/>
  </w:num>
  <w:num w:numId="41">
    <w:abstractNumId w:val="40"/>
  </w:num>
  <w:num w:numId="42">
    <w:abstractNumId w:val="19"/>
  </w:num>
  <w:num w:numId="43">
    <w:abstractNumId w:val="35"/>
  </w:num>
  <w:num w:numId="44">
    <w:abstractNumId w:val="42"/>
  </w:num>
  <w:num w:numId="45">
    <w:abstractNumId w:val="21"/>
  </w:num>
  <w:num w:numId="46">
    <w:abstractNumId w:val="13"/>
  </w:num>
  <w:num w:numId="47">
    <w:abstractNumId w:val="32"/>
  </w:num>
  <w:num w:numId="48">
    <w:abstractNumId w:val="18"/>
  </w:num>
  <w:num w:numId="49">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273E"/>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42F"/>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C7C"/>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1C5"/>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0A88"/>
    <w:rsid w:val="00891B28"/>
    <w:rsid w:val="00892C3F"/>
    <w:rsid w:val="008962B7"/>
    <w:rsid w:val="008964B0"/>
    <w:rsid w:val="00896DD7"/>
    <w:rsid w:val="008A483B"/>
    <w:rsid w:val="008A74F1"/>
    <w:rsid w:val="008B3F47"/>
    <w:rsid w:val="008C10C2"/>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3DA5"/>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45A1"/>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75736"/>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99"/>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99"/>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416708114">
      <w:bodyDiv w:val="1"/>
      <w:marLeft w:val="0"/>
      <w:marRight w:val="0"/>
      <w:marTop w:val="0"/>
      <w:marBottom w:val="0"/>
      <w:divBdr>
        <w:top w:val="none" w:sz="0" w:space="0" w:color="auto"/>
        <w:left w:val="none" w:sz="0" w:space="0" w:color="auto"/>
        <w:bottom w:val="none" w:sz="0" w:space="0" w:color="auto"/>
        <w:right w:val="none" w:sz="0" w:space="0" w:color="auto"/>
      </w:divBdr>
    </w:div>
    <w:div w:id="1827239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fda.gov/Drugs/InformationOnDrugs/ApprovedDrugs/ucm598404.htm" TargetMode="External"/><Relationship Id="rId3" Type="http://schemas.openxmlformats.org/officeDocument/2006/relationships/styles" Target="styles.xml"/><Relationship Id="rId21" Type="http://schemas.openxmlformats.org/officeDocument/2006/relationships/hyperlink" Target="http://ascopubs.org/doi/abs/10.1200/JCO.2016.67.1487?url_ver=Z39.88-2003&amp;rfr_id=ori:rid:crossref.org&amp;rfr_dat=cr_pub%3dpubmed"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ascopubs.org/doi/abs/10.1200/JCO.2017.75.6155?url_ver=Z39.88-2003&amp;rfr_id=ori:rid:crossref.org&amp;rfr_dat=cr_pub%3dpubmed"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clinicaltrials.gov/ct2/show/NCT02246621" TargetMode="External"/><Relationship Id="rId20" Type="http://schemas.openxmlformats.org/officeDocument/2006/relationships/hyperlink" Target="https://www.nccn.org/professionals/physician_gls/pdf/breast_block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scopubs.org/doi/abs/10.1200/jco.2017.73.7585"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ema.europa.eu/docs/en_GB/document_library/Summary_of_opinion_-_Initial_authorisation/human/004302/WC500252517.pdf"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107703" TargetMode="External"/><Relationship Id="rId22" Type="http://schemas.openxmlformats.org/officeDocument/2006/relationships/hyperlink" Target="https://www.esmo.org/Guidelines/Breast-Cancer/4th-ESO-ESMO-International-Consensus-Guidelines-for-Advanced-Breast-Cancer-ABC-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62B51-8FF1-44B7-B765-FB3A22AE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2018-11-05T20:00:00Z</dcterms:modified>
</cp:coreProperties>
</file>