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00BFCD9C" w:rsidR="00121EB1" w:rsidRPr="00EB0EEF" w:rsidRDefault="00FC49E8" w:rsidP="00EB0EEF">
            <w:pPr>
              <w:pStyle w:val="DocumentTitle"/>
              <w:tabs>
                <w:tab w:val="left" w:pos="1074"/>
              </w:tabs>
              <w:spacing w:before="0" w:after="0"/>
              <w:rPr>
                <w:sz w:val="18"/>
                <w:szCs w:val="20"/>
              </w:rPr>
            </w:pPr>
            <w:r>
              <w:rPr>
                <w:sz w:val="18"/>
                <w:szCs w:val="20"/>
              </w:rPr>
              <w:t>pCODR 10162</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593F99A9" w:rsidR="00F369F8" w:rsidRPr="00EB0EEF" w:rsidRDefault="00FC49E8" w:rsidP="00EB0EEF">
            <w:pPr>
              <w:pStyle w:val="DocumentTitle"/>
              <w:tabs>
                <w:tab w:val="left" w:pos="1074"/>
              </w:tabs>
              <w:spacing w:before="0" w:after="0"/>
              <w:rPr>
                <w:sz w:val="18"/>
                <w:szCs w:val="20"/>
              </w:rPr>
            </w:pPr>
            <w:r>
              <w:rPr>
                <w:sz w:val="18"/>
                <w:szCs w:val="20"/>
              </w:rPr>
              <w:t>Venetoclax (Venclexta)</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4D45222B" w14:textId="77777777" w:rsidR="00FC49E8" w:rsidRPr="00FC49E8" w:rsidRDefault="00FC49E8" w:rsidP="00FC49E8">
            <w:pPr>
              <w:pStyle w:val="DocumentTitle"/>
              <w:tabs>
                <w:tab w:val="left" w:pos="1074"/>
              </w:tabs>
              <w:spacing w:before="0" w:after="0"/>
              <w:rPr>
                <w:sz w:val="18"/>
                <w:szCs w:val="20"/>
              </w:rPr>
            </w:pPr>
            <w:r w:rsidRPr="00FC49E8">
              <w:rPr>
                <w:sz w:val="18"/>
                <w:szCs w:val="20"/>
              </w:rPr>
              <w:t>Leukemia</w:t>
            </w:r>
          </w:p>
          <w:p w14:paraId="188CCEE5" w14:textId="703CA05D" w:rsidR="00F369F8" w:rsidRPr="00EB0EEF" w:rsidRDefault="00FC49E8" w:rsidP="00FC49E8">
            <w:pPr>
              <w:pStyle w:val="DocumentTitle"/>
              <w:tabs>
                <w:tab w:val="left" w:pos="1074"/>
              </w:tabs>
              <w:spacing w:before="0" w:after="0"/>
              <w:rPr>
                <w:sz w:val="18"/>
                <w:szCs w:val="20"/>
              </w:rPr>
            </w:pPr>
            <w:r w:rsidRPr="00FC49E8">
              <w:rPr>
                <w:sz w:val="18"/>
                <w:szCs w:val="20"/>
              </w:rPr>
              <w:t>Chronic Lymphocytic Leukemia</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0EAF6CA5" w:rsidR="00F369F8" w:rsidRPr="00EB0EEF" w:rsidRDefault="00FC49E8" w:rsidP="00FC49E8">
            <w:pPr>
              <w:pStyle w:val="DocumentTitle"/>
              <w:tabs>
                <w:tab w:val="left" w:pos="1074"/>
              </w:tabs>
              <w:spacing w:after="0"/>
              <w:rPr>
                <w:sz w:val="18"/>
                <w:szCs w:val="20"/>
              </w:rPr>
            </w:pPr>
            <w:r>
              <w:rPr>
                <w:sz w:val="18"/>
                <w:szCs w:val="20"/>
              </w:rPr>
              <w:t>I</w:t>
            </w:r>
            <w:r w:rsidRPr="00FC49E8">
              <w:rPr>
                <w:sz w:val="18"/>
                <w:szCs w:val="20"/>
              </w:rPr>
              <w:t>n combination with rituximab (V+R)</w:t>
            </w:r>
            <w:r>
              <w:rPr>
                <w:sz w:val="18"/>
                <w:szCs w:val="20"/>
              </w:rPr>
              <w:t xml:space="preserve"> is indicated for the treatment o</w:t>
            </w:r>
            <w:r w:rsidRPr="00FC49E8">
              <w:rPr>
                <w:sz w:val="18"/>
                <w:szCs w:val="20"/>
              </w:rPr>
              <w:t>f adult patients with chronic lymphocytic leuke</w:t>
            </w:r>
            <w:r>
              <w:rPr>
                <w:sz w:val="18"/>
                <w:szCs w:val="20"/>
              </w:rPr>
              <w:t>mia (CLL) who have received at l</w:t>
            </w:r>
            <w:r w:rsidRPr="00FC49E8">
              <w:rPr>
                <w:sz w:val="18"/>
                <w:szCs w:val="20"/>
              </w:rPr>
              <w:t>east one prior therapy.</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7F954992" w14:textId="4160B5CE" w:rsidR="00FC49E8" w:rsidRPr="00FC49E8" w:rsidRDefault="00FC49E8" w:rsidP="000028EA">
            <w:pPr>
              <w:pStyle w:val="DocumentTitle"/>
              <w:numPr>
                <w:ilvl w:val="0"/>
                <w:numId w:val="44"/>
              </w:numPr>
              <w:tabs>
                <w:tab w:val="left" w:pos="1074"/>
              </w:tabs>
              <w:spacing w:before="0" w:after="0"/>
              <w:ind w:left="245" w:hanging="180"/>
              <w:rPr>
                <w:sz w:val="18"/>
                <w:szCs w:val="18"/>
              </w:rPr>
            </w:pPr>
            <w:r w:rsidRPr="00FC49E8">
              <w:rPr>
                <w:sz w:val="18"/>
                <w:szCs w:val="18"/>
                <w:shd w:val="clear" w:color="auto" w:fill="FFFFFF"/>
              </w:rPr>
              <w:t xml:space="preserve">MURANO </w:t>
            </w:r>
            <w:r w:rsidRPr="00FC49E8">
              <w:rPr>
                <w:color w:val="000000"/>
                <w:sz w:val="18"/>
                <w:szCs w:val="18"/>
                <w:shd w:val="clear" w:color="auto" w:fill="FFFFFF"/>
              </w:rPr>
              <w:t>(</w:t>
            </w:r>
            <w:hyperlink r:id="rId14" w:tgtFrame="_blank" w:history="1">
              <w:r w:rsidRPr="00FC49E8">
                <w:rPr>
                  <w:rStyle w:val="Hyperlink"/>
                  <w:sz w:val="18"/>
                  <w:szCs w:val="18"/>
                  <w:bdr w:val="none" w:sz="0" w:space="0" w:color="auto" w:frame="1"/>
                  <w:shd w:val="clear" w:color="auto" w:fill="FFFFFF"/>
                </w:rPr>
                <w:t>NCT02005471</w:t>
              </w:r>
            </w:hyperlink>
            <w:r w:rsidRPr="00FC49E8">
              <w:rPr>
                <w:color w:val="000000"/>
                <w:sz w:val="18"/>
                <w:szCs w:val="18"/>
                <w:shd w:val="clear" w:color="auto" w:fill="FFFFFF"/>
              </w:rPr>
              <w:t>)</w:t>
            </w:r>
            <w:bookmarkStart w:id="0" w:name="_GoBack"/>
            <w:bookmarkEnd w:id="0"/>
          </w:p>
          <w:p w14:paraId="52AF8FBD" w14:textId="77813C00" w:rsidR="00CC380E" w:rsidRPr="00FC49E8" w:rsidRDefault="00C01420" w:rsidP="00FC49E8">
            <w:pPr>
              <w:pStyle w:val="DocumentTitle"/>
              <w:numPr>
                <w:ilvl w:val="0"/>
                <w:numId w:val="44"/>
              </w:numPr>
              <w:tabs>
                <w:tab w:val="left" w:pos="1074"/>
              </w:tabs>
              <w:spacing w:before="0" w:after="0"/>
              <w:ind w:left="245" w:hanging="180"/>
              <w:rPr>
                <w:sz w:val="18"/>
                <w:szCs w:val="18"/>
              </w:rPr>
            </w:pPr>
            <w:hyperlink r:id="rId15" w:tgtFrame="_blank" w:history="1">
              <w:r w:rsidR="00FC49E8" w:rsidRPr="00FC49E8">
                <w:rPr>
                  <w:rStyle w:val="Hyperlink"/>
                  <w:sz w:val="18"/>
                  <w:szCs w:val="18"/>
                  <w:bdr w:val="none" w:sz="0" w:space="0" w:color="auto" w:frame="1"/>
                  <w:shd w:val="clear" w:color="auto" w:fill="FFFFFF"/>
                </w:rPr>
                <w:t>Seymour et al., NEJM 2018</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6F2E5AFA" w14:textId="02315354" w:rsidR="00C01420" w:rsidRPr="00C01420" w:rsidRDefault="00C01420" w:rsidP="00D9681E">
            <w:pPr>
              <w:pStyle w:val="DocumentTitle"/>
              <w:tabs>
                <w:tab w:val="left" w:pos="1074"/>
              </w:tabs>
              <w:spacing w:before="0" w:after="0"/>
              <w:rPr>
                <w:sz w:val="18"/>
                <w:szCs w:val="20"/>
              </w:rPr>
            </w:pPr>
            <w:r>
              <w:rPr>
                <w:sz w:val="18"/>
                <w:szCs w:val="20"/>
              </w:rPr>
              <w:t>September 21, 2018</w:t>
            </w:r>
          </w:p>
          <w:p w14:paraId="6B89C372" w14:textId="0A5A5F65" w:rsidR="00C01420" w:rsidRPr="00C01420" w:rsidRDefault="00C01420" w:rsidP="00C01420">
            <w:pPr>
              <w:pStyle w:val="DocumentTitle"/>
              <w:tabs>
                <w:tab w:val="left" w:pos="1074"/>
              </w:tabs>
              <w:spacing w:after="0"/>
              <w:rPr>
                <w:rStyle w:val="Hyperlink"/>
                <w:sz w:val="18"/>
                <w:szCs w:val="20"/>
              </w:rPr>
            </w:pPr>
            <w:r>
              <w:rPr>
                <w:sz w:val="18"/>
                <w:szCs w:val="20"/>
              </w:rPr>
              <w:fldChar w:fldCharType="begin"/>
            </w:r>
            <w:r>
              <w:rPr>
                <w:sz w:val="18"/>
                <w:szCs w:val="20"/>
              </w:rPr>
              <w:instrText xml:space="preserve"> HYPERLINK "https://www.abbvie.ca/content/dam/abbviecorp/ca/en/docs/VENCLEXTA_PM_EN.pdf" </w:instrText>
            </w:r>
            <w:r>
              <w:rPr>
                <w:sz w:val="18"/>
                <w:szCs w:val="20"/>
              </w:rPr>
            </w:r>
            <w:r>
              <w:rPr>
                <w:sz w:val="18"/>
                <w:szCs w:val="20"/>
              </w:rPr>
              <w:fldChar w:fldCharType="separate"/>
            </w:r>
            <w:r w:rsidRPr="00C01420">
              <w:rPr>
                <w:rStyle w:val="Hyperlink"/>
                <w:sz w:val="18"/>
                <w:szCs w:val="20"/>
              </w:rPr>
              <w:t>in combination with rituximab is indicated for the treatment of adult</w:t>
            </w:r>
          </w:p>
          <w:p w14:paraId="547CC765" w14:textId="2AFEC441" w:rsidR="00C01420" w:rsidRPr="00EB0EEF" w:rsidRDefault="00C01420" w:rsidP="00C01420">
            <w:pPr>
              <w:pStyle w:val="DocumentTitle"/>
              <w:tabs>
                <w:tab w:val="left" w:pos="1074"/>
              </w:tabs>
              <w:spacing w:before="0" w:after="0"/>
              <w:rPr>
                <w:color w:val="C00000"/>
                <w:sz w:val="18"/>
                <w:szCs w:val="20"/>
              </w:rPr>
            </w:pPr>
            <w:r w:rsidRPr="00C01420">
              <w:rPr>
                <w:rStyle w:val="Hyperlink"/>
                <w:sz w:val="18"/>
                <w:szCs w:val="20"/>
              </w:rPr>
              <w:t>patients with chronic lymphocytic leukemia (CLL) who have received at least one prior therapy.</w:t>
            </w:r>
            <w:r>
              <w:rPr>
                <w:sz w:val="18"/>
                <w:szCs w:val="20"/>
              </w:rPr>
              <w:fldChar w:fldCharType="end"/>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23117125"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561CF086" w14:textId="28243D71" w:rsidR="00967FFB" w:rsidRPr="00967FFB" w:rsidRDefault="00967FFB" w:rsidP="00967FFB">
            <w:pPr>
              <w:pStyle w:val="DocumentTitle"/>
              <w:tabs>
                <w:tab w:val="left" w:pos="1074"/>
              </w:tabs>
              <w:spacing w:before="0" w:after="0"/>
              <w:rPr>
                <w:sz w:val="18"/>
                <w:szCs w:val="20"/>
              </w:rPr>
            </w:pPr>
            <w:r w:rsidRPr="00967FFB">
              <w:rPr>
                <w:sz w:val="18"/>
                <w:szCs w:val="20"/>
              </w:rPr>
              <w:t>June 8, 2018</w:t>
            </w:r>
          </w:p>
          <w:p w14:paraId="2F4426B0" w14:textId="77777777" w:rsidR="00967FFB" w:rsidRDefault="00967FFB" w:rsidP="00967FFB">
            <w:pPr>
              <w:pStyle w:val="DocumentTitle"/>
              <w:tabs>
                <w:tab w:val="left" w:pos="1074"/>
              </w:tabs>
              <w:spacing w:before="0" w:after="0"/>
              <w:rPr>
                <w:color w:val="C00000"/>
                <w:sz w:val="18"/>
                <w:szCs w:val="20"/>
              </w:rPr>
            </w:pPr>
          </w:p>
          <w:p w14:paraId="2EE07483" w14:textId="537B903B" w:rsidR="00275E1C" w:rsidRPr="00967FFB" w:rsidRDefault="00C01420" w:rsidP="00967FFB">
            <w:pPr>
              <w:rPr>
                <w:rFonts w:ascii="Arial" w:eastAsia="Calibri" w:hAnsi="Arial" w:cs="Arial"/>
                <w:b/>
                <w:sz w:val="18"/>
              </w:rPr>
            </w:pPr>
            <w:hyperlink r:id="rId16" w:history="1">
              <w:r w:rsidR="00967FFB" w:rsidRPr="00967FFB">
                <w:rPr>
                  <w:rStyle w:val="Hyperlink"/>
                  <w:rFonts w:ascii="Arial" w:eastAsia="Calibri" w:hAnsi="Arial" w:cs="Arial"/>
                  <w:b/>
                  <w:sz w:val="18"/>
                </w:rPr>
                <w:t>for patients with chronic lymphocytic leukemia (CLL) or small lymphocytic lymphoma (SLL), with or without 17p deletion, who have received at least one prior therapy.</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4658FA3B" w:rsidR="00F369F8" w:rsidRPr="00EB0EEF" w:rsidRDefault="00F369F8" w:rsidP="00EB0EEF">
            <w:pPr>
              <w:pStyle w:val="DocumentTitle"/>
              <w:tabs>
                <w:tab w:val="left" w:pos="1074"/>
              </w:tabs>
              <w:spacing w:before="0" w:after="0"/>
              <w:rPr>
                <w:color w:val="C00000"/>
                <w:sz w:val="18"/>
                <w:szCs w:val="20"/>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2708BB7A" w14:textId="34656961" w:rsidR="00DE3BFA" w:rsidRPr="00DE3BFA" w:rsidRDefault="00DE3BFA" w:rsidP="00EB0EEF">
            <w:pPr>
              <w:pStyle w:val="DocumentTitle"/>
              <w:tabs>
                <w:tab w:val="left" w:pos="1074"/>
              </w:tabs>
              <w:spacing w:before="0" w:after="0"/>
              <w:rPr>
                <w:sz w:val="18"/>
                <w:szCs w:val="20"/>
              </w:rPr>
            </w:pPr>
            <w:r>
              <w:rPr>
                <w:sz w:val="18"/>
                <w:szCs w:val="20"/>
              </w:rPr>
              <w:t xml:space="preserve">Hallek M et al. </w:t>
            </w:r>
            <w:r w:rsidRPr="00DE3BFA">
              <w:rPr>
                <w:sz w:val="18"/>
                <w:szCs w:val="20"/>
              </w:rPr>
              <w:t>Guidelines for diagnosis, indications for treatment, response assessment and supportive management of chronic lymphocytic leukemia</w:t>
            </w:r>
            <w:r>
              <w:rPr>
                <w:sz w:val="18"/>
                <w:szCs w:val="20"/>
              </w:rPr>
              <w:t xml:space="preserve">. </w:t>
            </w:r>
            <w:hyperlink r:id="rId17" w:history="1">
              <w:r w:rsidRPr="00DE3BFA">
                <w:rPr>
                  <w:rStyle w:val="Hyperlink"/>
                  <w:sz w:val="18"/>
                  <w:szCs w:val="20"/>
                </w:rPr>
                <w:t>http://www.bloodjournal.org/content/early/2018/03/14/blood-2017-09-806398?sso-checked=trueBlood%202018%20:blood-2017-09-806398;%20doi:%20https:/doi.org/10.1182/blood-2017-09-806398</w:t>
              </w:r>
            </w:hyperlink>
          </w:p>
          <w:p w14:paraId="150D0506" w14:textId="77777777" w:rsidR="00DE3BFA" w:rsidRDefault="00DE3BFA" w:rsidP="00EB0EEF">
            <w:pPr>
              <w:pStyle w:val="DocumentTitle"/>
              <w:tabs>
                <w:tab w:val="left" w:pos="1074"/>
              </w:tabs>
              <w:spacing w:before="0" w:after="0"/>
              <w:rPr>
                <w:color w:val="C00000"/>
                <w:sz w:val="18"/>
                <w:szCs w:val="20"/>
              </w:rPr>
            </w:pPr>
          </w:p>
          <w:p w14:paraId="578EEE77" w14:textId="215F26F2" w:rsidR="00DE3BFA" w:rsidRDefault="00DE3BFA" w:rsidP="00DE3BFA">
            <w:pPr>
              <w:pStyle w:val="DocumentTitle"/>
              <w:tabs>
                <w:tab w:val="left" w:pos="1074"/>
              </w:tabs>
              <w:spacing w:after="0"/>
              <w:rPr>
                <w:sz w:val="18"/>
                <w:szCs w:val="20"/>
              </w:rPr>
            </w:pPr>
            <w:r w:rsidRPr="00DE3BFA">
              <w:rPr>
                <w:sz w:val="18"/>
                <w:szCs w:val="20"/>
              </w:rPr>
              <w:t xml:space="preserve">NCCN </w:t>
            </w:r>
            <w:r>
              <w:rPr>
                <w:sz w:val="18"/>
                <w:szCs w:val="20"/>
              </w:rPr>
              <w:t xml:space="preserve">Guidelines. </w:t>
            </w:r>
            <w:hyperlink r:id="rId18" w:history="1">
              <w:r w:rsidRPr="00DE3BFA">
                <w:rPr>
                  <w:rStyle w:val="Hyperlink"/>
                  <w:sz w:val="18"/>
                  <w:szCs w:val="20"/>
                </w:rPr>
                <w:t>Chronic Lymphocytic Leukemia/Small Lymphocytic Lymphoma.</w:t>
              </w:r>
            </w:hyperlink>
            <w:r>
              <w:rPr>
                <w:sz w:val="18"/>
                <w:szCs w:val="20"/>
              </w:rPr>
              <w:t xml:space="preserve"> </w:t>
            </w:r>
          </w:p>
          <w:p w14:paraId="17E99E46" w14:textId="6E475767" w:rsidR="00DE3BFA" w:rsidRPr="00DE3BFA" w:rsidRDefault="00DE3BFA" w:rsidP="00DE3BFA">
            <w:pPr>
              <w:pStyle w:val="DocumentTitle"/>
              <w:tabs>
                <w:tab w:val="left" w:pos="1074"/>
              </w:tabs>
              <w:spacing w:after="0"/>
              <w:rPr>
                <w:sz w:val="18"/>
                <w:szCs w:val="20"/>
              </w:rPr>
            </w:pPr>
            <w:r w:rsidRPr="00DE3BFA">
              <w:rPr>
                <w:sz w:val="18"/>
                <w:szCs w:val="20"/>
              </w:rPr>
              <w:t>Eichhorst B, Robak T, Montserrat P et al.Chronic lymphocytic leukaemia: ESMO Clinical Practice Guidelines for dia</w:t>
            </w:r>
            <w:r>
              <w:rPr>
                <w:sz w:val="18"/>
                <w:szCs w:val="20"/>
              </w:rPr>
              <w:t>gnosis, treatment and follow-up.</w:t>
            </w:r>
            <w:r w:rsidRPr="00DE3BFA">
              <w:rPr>
                <w:sz w:val="18"/>
                <w:szCs w:val="20"/>
              </w:rPr>
              <w:t xml:space="preserve"> </w:t>
            </w:r>
            <w:hyperlink r:id="rId19" w:history="1">
              <w:r w:rsidRPr="00DE3BFA">
                <w:rPr>
                  <w:rStyle w:val="Hyperlink"/>
                  <w:sz w:val="18"/>
                  <w:szCs w:val="20"/>
                </w:rPr>
                <w:t>Ann Oncol 2015; 26 (Suppl 5): v78-v84.</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D9D2CD5" w14:textId="1867A149" w:rsidR="00967FFB" w:rsidRDefault="00967FFB" w:rsidP="00967FFB">
            <w:pPr>
              <w:pStyle w:val="DocumentTitle"/>
              <w:tabs>
                <w:tab w:val="left" w:pos="1074"/>
              </w:tabs>
              <w:spacing w:before="0" w:after="0"/>
              <w:rPr>
                <w:sz w:val="18"/>
                <w:szCs w:val="20"/>
              </w:rPr>
            </w:pPr>
            <w:r w:rsidRPr="00967FFB">
              <w:rPr>
                <w:sz w:val="18"/>
                <w:szCs w:val="20"/>
              </w:rPr>
              <w:t>PAG identified that there is no standard of care for adult patients with chronic lymphocytic leukemia (CLL) who have received at least one prior therapy. Ibrutinib and idelalisib/rituximab would be considered for patients who have relapsed after first-line treatment.</w:t>
            </w:r>
          </w:p>
          <w:p w14:paraId="0FC4F107" w14:textId="77777777" w:rsidR="00967FFB" w:rsidRDefault="00967FFB" w:rsidP="00967FFB">
            <w:pPr>
              <w:pStyle w:val="DocumentTitle"/>
              <w:tabs>
                <w:tab w:val="left" w:pos="1074"/>
              </w:tabs>
              <w:spacing w:before="0" w:after="0"/>
              <w:rPr>
                <w:sz w:val="18"/>
                <w:szCs w:val="20"/>
              </w:rPr>
            </w:pPr>
          </w:p>
          <w:p w14:paraId="09ECBE82" w14:textId="38A19E5A" w:rsidR="00420EEA" w:rsidRPr="00967FFB" w:rsidRDefault="00967FFB" w:rsidP="00967FFB">
            <w:pPr>
              <w:pStyle w:val="DocumentTitle"/>
              <w:tabs>
                <w:tab w:val="left" w:pos="1074"/>
              </w:tabs>
              <w:spacing w:before="0" w:after="0"/>
              <w:rPr>
                <w:sz w:val="18"/>
                <w:szCs w:val="20"/>
              </w:rPr>
            </w:pPr>
            <w:r w:rsidRPr="0013642F">
              <w:rPr>
                <w:sz w:val="18"/>
                <w:szCs w:val="18"/>
              </w:rPr>
              <w:t xml:space="preserve">See Appendix B – Provincial Funding of Treatments for </w:t>
            </w:r>
            <w:r>
              <w:rPr>
                <w:sz w:val="18"/>
                <w:szCs w:val="18"/>
              </w:rPr>
              <w:t>CLL</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C01420"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lastRenderedPageBreak/>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8"/>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45D190D1" w14:textId="77777777" w:rsidR="00967FFB" w:rsidRDefault="00364061" w:rsidP="00967FFB">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631200E5" w14:textId="77777777" w:rsidR="000A3B48" w:rsidRDefault="00967FFB" w:rsidP="000A3B48">
      <w:pPr>
        <w:pStyle w:val="pCODR1Body"/>
        <w:spacing w:line="276" w:lineRule="auto"/>
        <w:ind w:left="360"/>
        <w:rPr>
          <w:rFonts w:ascii="Arial" w:hAnsi="Arial" w:cs="Arial"/>
          <w:sz w:val="18"/>
        </w:rPr>
      </w:pPr>
      <w:r w:rsidRPr="00967FFB">
        <w:rPr>
          <w:rFonts w:ascii="Arial" w:hAnsi="Arial" w:cs="Arial"/>
          <w:b/>
          <w:sz w:val="18"/>
        </w:rPr>
        <w:t>4.1.</w:t>
      </w:r>
      <w:r w:rsidRPr="00967FFB">
        <w:rPr>
          <w:rFonts w:ascii="Arial" w:hAnsi="Arial" w:cs="Arial"/>
          <w:sz w:val="18"/>
        </w:rPr>
        <w:tab/>
        <w:t xml:space="preserve">In regards to question 3.4 above, please consider the optimal sequencing of treatments in CLL specifically: chemo-immunotherapy, ibrutinib, idelalisib/rituximab. </w:t>
      </w:r>
    </w:p>
    <w:p w14:paraId="774EC16E" w14:textId="13DC0838" w:rsidR="000A3B48" w:rsidRDefault="000A3B48" w:rsidP="000A3B48">
      <w:pPr>
        <w:pStyle w:val="pCODR1Body"/>
        <w:spacing w:line="276" w:lineRule="auto"/>
        <w:ind w:left="720"/>
        <w:rPr>
          <w:rFonts w:ascii="Arial" w:hAnsi="Arial" w:cs="Arial"/>
          <w:sz w:val="18"/>
        </w:rPr>
      </w:pPr>
      <w:r>
        <w:rPr>
          <w:rFonts w:ascii="Arial" w:hAnsi="Arial" w:cs="Arial"/>
          <w:b/>
          <w:sz w:val="18"/>
        </w:rPr>
        <w:t xml:space="preserve">4.1.1. </w:t>
      </w:r>
      <w:r w:rsidRPr="000A3B48">
        <w:rPr>
          <w:rFonts w:ascii="Arial" w:hAnsi="Arial" w:cs="Arial"/>
          <w:sz w:val="18"/>
        </w:rPr>
        <w:t>Ibrutinib was recently reviewed at pCODR, for the treatment of patients with CLL/SLL with or without deletion 17p who have received at least one prior therapy and are not considered appropriate for treatment or re-treatment with a purine analog (e.g., fludarabine). In what clinical scenarios would ibrutinib or venetoclax/rituximab be the preferred treatment for patients with CLL that have received at least one prior therapy? Please comment on the preference considering patient preference, efficacy, safety, and administration.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0A3B48" w14:paraId="4B9DB89D" w14:textId="77777777" w:rsidTr="00FB5501">
        <w:tc>
          <w:tcPr>
            <w:tcW w:w="10166" w:type="dxa"/>
          </w:tcPr>
          <w:p w14:paraId="6A6F3242" w14:textId="77777777" w:rsidR="000A3B48" w:rsidRDefault="000A3B48" w:rsidP="00FB5501">
            <w:pPr>
              <w:rPr>
                <w:rFonts w:ascii="Arial" w:hAnsi="Arial" w:cs="Arial"/>
                <w:sz w:val="22"/>
                <w:szCs w:val="22"/>
              </w:rPr>
            </w:pPr>
          </w:p>
          <w:p w14:paraId="46E7F48E" w14:textId="77777777" w:rsidR="000A3B48" w:rsidRDefault="000A3B48" w:rsidP="00FB5501">
            <w:pPr>
              <w:rPr>
                <w:rFonts w:ascii="Arial" w:hAnsi="Arial" w:cs="Arial"/>
                <w:sz w:val="22"/>
                <w:szCs w:val="22"/>
              </w:rPr>
            </w:pPr>
          </w:p>
        </w:tc>
      </w:tr>
    </w:tbl>
    <w:p w14:paraId="6B0A4D87" w14:textId="77777777" w:rsidR="000A3B48" w:rsidRPr="00967FFB" w:rsidRDefault="000A3B48" w:rsidP="000A3B48">
      <w:pPr>
        <w:pStyle w:val="pCODR1Body"/>
        <w:spacing w:line="276" w:lineRule="auto"/>
        <w:ind w:left="720"/>
        <w:rPr>
          <w:rFonts w:ascii="Arial" w:hAnsi="Arial" w:cs="Arial"/>
          <w:sz w:val="18"/>
        </w:rPr>
      </w:pPr>
    </w:p>
    <w:p w14:paraId="29F7D14C" w14:textId="4EA0ED9E" w:rsidR="00967FFB" w:rsidRPr="00EB0EEF" w:rsidRDefault="00967FFB" w:rsidP="00967FFB">
      <w:pPr>
        <w:pStyle w:val="pCODR1Body"/>
        <w:ind w:left="360"/>
        <w:rPr>
          <w:rFonts w:ascii="Arial" w:hAnsi="Arial" w:cs="Arial"/>
          <w:sz w:val="18"/>
        </w:rPr>
      </w:pPr>
      <w:r w:rsidRPr="00967FFB">
        <w:rPr>
          <w:rFonts w:ascii="Arial" w:hAnsi="Arial" w:cs="Arial"/>
          <w:b/>
          <w:sz w:val="18"/>
        </w:rPr>
        <w:t>4.2.</w:t>
      </w:r>
      <w:r w:rsidRPr="00967FFB">
        <w:rPr>
          <w:rFonts w:ascii="Arial" w:hAnsi="Arial" w:cs="Arial"/>
          <w:b/>
          <w:sz w:val="18"/>
        </w:rPr>
        <w:tab/>
      </w:r>
      <w:r w:rsidR="000A3B48" w:rsidRPr="000A3B48">
        <w:rPr>
          <w:rFonts w:ascii="Arial" w:hAnsi="Arial" w:cs="Arial"/>
          <w:sz w:val="18"/>
        </w:rPr>
        <w:t>Obinutuzumab has been associated with greater efficacy and potency than rituximab in CLL. In clinical practice, would you consider subsequent venetoclax/rituximab for patients who receive obinutuzumab/chlorambucil?</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967FFB" w14:paraId="0DE526E2" w14:textId="77777777" w:rsidTr="00F55137">
        <w:tc>
          <w:tcPr>
            <w:tcW w:w="10166" w:type="dxa"/>
          </w:tcPr>
          <w:p w14:paraId="0EC89680" w14:textId="77777777" w:rsidR="000A3B48" w:rsidRDefault="000A3B48" w:rsidP="00F55137">
            <w:pPr>
              <w:rPr>
                <w:rFonts w:ascii="Arial" w:hAnsi="Arial" w:cs="Arial"/>
                <w:sz w:val="22"/>
                <w:szCs w:val="22"/>
              </w:rPr>
            </w:pPr>
          </w:p>
          <w:p w14:paraId="064E88DC" w14:textId="77777777" w:rsidR="00967FFB" w:rsidRDefault="00967FFB" w:rsidP="00F55137">
            <w:pPr>
              <w:rPr>
                <w:rFonts w:ascii="Arial" w:hAnsi="Arial" w:cs="Arial"/>
                <w:sz w:val="22"/>
                <w:szCs w:val="22"/>
              </w:rPr>
            </w:pPr>
          </w:p>
        </w:tc>
      </w:tr>
    </w:tbl>
    <w:p w14:paraId="2D24E5CE" w14:textId="77777777" w:rsidR="00967FFB" w:rsidRPr="00967FFB" w:rsidRDefault="00967FFB" w:rsidP="000A3B48">
      <w:pPr>
        <w:pStyle w:val="pCODR1Body"/>
        <w:rPr>
          <w:rFonts w:ascii="Arial" w:hAnsi="Arial" w:cs="Arial"/>
          <w:sz w:val="18"/>
        </w:rPr>
      </w:pPr>
    </w:p>
    <w:p w14:paraId="5AB0E35E" w14:textId="0405F55F" w:rsidR="00967FFB" w:rsidRDefault="00967FFB" w:rsidP="00967FFB">
      <w:pPr>
        <w:pStyle w:val="pCODR1Body"/>
        <w:ind w:left="360"/>
        <w:rPr>
          <w:rFonts w:ascii="Arial" w:hAnsi="Arial" w:cs="Arial"/>
          <w:sz w:val="18"/>
        </w:rPr>
      </w:pPr>
      <w:r w:rsidRPr="00967FFB">
        <w:rPr>
          <w:rFonts w:ascii="Arial" w:hAnsi="Arial" w:cs="Arial"/>
          <w:b/>
          <w:sz w:val="18"/>
        </w:rPr>
        <w:t>4.3.</w:t>
      </w:r>
      <w:r w:rsidRPr="00967FFB">
        <w:rPr>
          <w:rFonts w:ascii="Arial" w:hAnsi="Arial" w:cs="Arial"/>
          <w:b/>
          <w:sz w:val="18"/>
        </w:rPr>
        <w:tab/>
      </w:r>
      <w:r w:rsidRPr="00967FFB">
        <w:rPr>
          <w:rFonts w:ascii="Arial" w:hAnsi="Arial" w:cs="Arial"/>
          <w:sz w:val="18"/>
        </w:rPr>
        <w:t>In clinical practice, if venetoclax/rituximab was available:</w:t>
      </w:r>
    </w:p>
    <w:p w14:paraId="75F7198E" w14:textId="77777777" w:rsidR="00967FFB" w:rsidRDefault="00967FFB" w:rsidP="00967FFB">
      <w:pPr>
        <w:pStyle w:val="pCODR1Body"/>
        <w:ind w:left="720"/>
        <w:rPr>
          <w:rFonts w:ascii="Arial" w:hAnsi="Arial" w:cs="Arial"/>
          <w:sz w:val="18"/>
        </w:rPr>
      </w:pPr>
      <w:r>
        <w:rPr>
          <w:rFonts w:ascii="Arial" w:hAnsi="Arial" w:cs="Arial"/>
          <w:b/>
          <w:sz w:val="18"/>
        </w:rPr>
        <w:t>4.3.1.</w:t>
      </w:r>
      <w:r>
        <w:rPr>
          <w:rFonts w:ascii="Arial" w:hAnsi="Arial" w:cs="Arial"/>
          <w:sz w:val="18"/>
        </w:rPr>
        <w:t xml:space="preserve"> </w:t>
      </w:r>
      <w:r w:rsidRPr="00967FFB">
        <w:rPr>
          <w:rFonts w:ascii="Arial" w:hAnsi="Arial" w:cs="Arial"/>
          <w:sz w:val="18"/>
        </w:rPr>
        <w:t xml:space="preserve">For patients who do not experience progression, are there instances where these patients should be treated beyond the 24 </w:t>
      </w:r>
      <w:r>
        <w:rPr>
          <w:rFonts w:ascii="Arial" w:hAnsi="Arial" w:cs="Arial"/>
          <w:sz w:val="18"/>
        </w:rPr>
        <w:t>months of treatment?</w:t>
      </w:r>
    </w:p>
    <w:p w14:paraId="1D08A86C" w14:textId="3F39335F" w:rsidR="00967FFB" w:rsidRDefault="00967FFB" w:rsidP="00967FFB">
      <w:pPr>
        <w:pStyle w:val="pCODR1Body"/>
        <w:ind w:left="720"/>
        <w:rPr>
          <w:rFonts w:ascii="Arial" w:hAnsi="Arial" w:cs="Arial"/>
          <w:sz w:val="18"/>
        </w:rPr>
      </w:pPr>
      <w:r w:rsidRPr="00967FFB">
        <w:rPr>
          <w:rFonts w:ascii="Arial" w:hAnsi="Arial" w:cs="Arial"/>
          <w:b/>
          <w:sz w:val="18"/>
        </w:rPr>
        <w:t>4.3.2.</w:t>
      </w:r>
      <w:r>
        <w:rPr>
          <w:rFonts w:ascii="Arial" w:hAnsi="Arial" w:cs="Arial"/>
          <w:sz w:val="18"/>
        </w:rPr>
        <w:t xml:space="preserve"> </w:t>
      </w:r>
      <w:r w:rsidRPr="00967FFB">
        <w:rPr>
          <w:rFonts w:ascii="Arial" w:hAnsi="Arial" w:cs="Arial"/>
          <w:sz w:val="18"/>
        </w:rPr>
        <w:t>For patients who have completed the 24 months of treatment, are there instances where these patients should be re-treated with venetoclax/rituximab upon progression?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967FFB" w14:paraId="2AA8B495" w14:textId="77777777" w:rsidTr="00F55137">
        <w:tc>
          <w:tcPr>
            <w:tcW w:w="10166" w:type="dxa"/>
          </w:tcPr>
          <w:p w14:paraId="5618EA7A" w14:textId="77777777" w:rsidR="00967FFB" w:rsidRDefault="00967FFB" w:rsidP="00F55137">
            <w:pPr>
              <w:rPr>
                <w:rFonts w:ascii="Arial" w:hAnsi="Arial" w:cs="Arial"/>
                <w:sz w:val="22"/>
                <w:szCs w:val="22"/>
              </w:rPr>
            </w:pPr>
          </w:p>
          <w:p w14:paraId="14E830E6" w14:textId="77777777" w:rsidR="00967FFB" w:rsidRDefault="00967FFB" w:rsidP="00F55137">
            <w:pPr>
              <w:rPr>
                <w:rFonts w:ascii="Arial" w:hAnsi="Arial" w:cs="Arial"/>
                <w:sz w:val="22"/>
                <w:szCs w:val="22"/>
              </w:rPr>
            </w:pPr>
          </w:p>
        </w:tc>
      </w:tr>
    </w:tbl>
    <w:p w14:paraId="2524877B" w14:textId="77777777" w:rsidR="00967FFB" w:rsidRPr="00967FFB" w:rsidRDefault="00967FFB" w:rsidP="00273738">
      <w:pPr>
        <w:pStyle w:val="pCODR1Body"/>
        <w:rPr>
          <w:rFonts w:ascii="Arial" w:hAnsi="Arial" w:cs="Arial"/>
          <w:sz w:val="18"/>
        </w:rPr>
      </w:pPr>
    </w:p>
    <w:p w14:paraId="09528853" w14:textId="3185BD66" w:rsidR="00967FFB" w:rsidRPr="00EB0EEF" w:rsidRDefault="00967FFB" w:rsidP="00967FFB">
      <w:pPr>
        <w:pStyle w:val="pCODR1Body"/>
        <w:ind w:left="360"/>
        <w:rPr>
          <w:rFonts w:ascii="Arial" w:hAnsi="Arial" w:cs="Arial"/>
          <w:sz w:val="18"/>
        </w:rPr>
      </w:pPr>
      <w:r w:rsidRPr="00967FFB">
        <w:rPr>
          <w:rFonts w:ascii="Arial" w:hAnsi="Arial" w:cs="Arial"/>
          <w:b/>
          <w:sz w:val="18"/>
        </w:rPr>
        <w:t>4.</w:t>
      </w:r>
      <w:r w:rsidR="000C45AD">
        <w:rPr>
          <w:rFonts w:ascii="Arial" w:hAnsi="Arial" w:cs="Arial"/>
          <w:b/>
          <w:sz w:val="18"/>
        </w:rPr>
        <w:t>4</w:t>
      </w:r>
      <w:r w:rsidRPr="00967FFB">
        <w:rPr>
          <w:rFonts w:ascii="Arial" w:hAnsi="Arial" w:cs="Arial"/>
          <w:b/>
          <w:sz w:val="18"/>
        </w:rPr>
        <w:t>.</w:t>
      </w:r>
      <w:r>
        <w:rPr>
          <w:rFonts w:ascii="Arial" w:hAnsi="Arial" w:cs="Arial"/>
          <w:sz w:val="18"/>
        </w:rPr>
        <w:t xml:space="preserve"> </w:t>
      </w:r>
      <w:r w:rsidRPr="00967FFB">
        <w:rPr>
          <w:rFonts w:ascii="Arial" w:hAnsi="Arial" w:cs="Arial"/>
          <w:sz w:val="18"/>
        </w:rPr>
        <w:t>In clinical practice if available, would subcutaneous rituximab be used in combination with venetoclax?</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0028EA" w14:paraId="5247003C" w14:textId="77777777" w:rsidTr="000028EA">
        <w:tc>
          <w:tcPr>
            <w:tcW w:w="10346" w:type="dxa"/>
          </w:tcPr>
          <w:p w14:paraId="263B76BD" w14:textId="77777777" w:rsidR="000028EA" w:rsidRDefault="000028EA" w:rsidP="00967FFB">
            <w:pPr>
              <w:pStyle w:val="pCODR01AppendixHeader"/>
              <w:spacing w:before="0" w:after="0"/>
              <w:rPr>
                <w:rFonts w:ascii="Arial" w:hAnsi="Arial" w:cs="Arial"/>
                <w:spacing w:val="0"/>
              </w:rPr>
            </w:pPr>
            <w:bookmarkStart w:id="9" w:name="_Appendix_A:_pCODR"/>
            <w:bookmarkStart w:id="10" w:name="_Toc439923603"/>
            <w:bookmarkEnd w:id="9"/>
          </w:p>
        </w:tc>
      </w:tr>
    </w:tbl>
    <w:p w14:paraId="0AE0D783" w14:textId="77777777" w:rsidR="00D8302B" w:rsidRPr="00EB0EEF" w:rsidRDefault="00D8302B" w:rsidP="00FB5292">
      <w:pPr>
        <w:pStyle w:val="pCODR01AppendixHeader"/>
        <w:rPr>
          <w:rFonts w:ascii="Arial" w:hAnsi="Arial" w:cs="Arial"/>
          <w:spacing w:val="0"/>
        </w:rPr>
      </w:pPr>
    </w:p>
    <w:p w14:paraId="37480FF9" w14:textId="77777777" w:rsidR="00D8302B" w:rsidRPr="00EB0EEF" w:rsidRDefault="00D8302B">
      <w:pPr>
        <w:rPr>
          <w:rFonts w:ascii="Arial" w:eastAsia="Times New Roman" w:hAnsi="Arial" w:cs="Arial"/>
          <w:b/>
          <w:kern w:val="28"/>
          <w:sz w:val="28"/>
        </w:rPr>
      </w:pPr>
      <w:r w:rsidRPr="00EB0EEF">
        <w:rPr>
          <w:rFonts w:ascii="Arial" w:hAnsi="Arial" w:cs="Arial"/>
        </w:rPr>
        <w:br w:type="page"/>
      </w:r>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10"/>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43A35A2E" w:rsidR="00967FFB" w:rsidRDefault="00967FFB">
      <w:pPr>
        <w:rPr>
          <w:rFonts w:ascii="Arial" w:hAnsi="Arial" w:cs="Arial"/>
          <w:sz w:val="18"/>
          <w:szCs w:val="18"/>
        </w:rPr>
      </w:pPr>
      <w:r>
        <w:rPr>
          <w:rFonts w:ascii="Arial" w:hAnsi="Arial" w:cs="Arial"/>
          <w:sz w:val="18"/>
          <w:szCs w:val="18"/>
        </w:rPr>
        <w:br w:type="page"/>
      </w:r>
    </w:p>
    <w:p w14:paraId="378C618C" w14:textId="36D4AAE2" w:rsidR="00967FFB" w:rsidRDefault="00967FFB" w:rsidP="00967FFB">
      <w:pPr>
        <w:pStyle w:val="pCODR01AppendixHeader"/>
      </w:pPr>
      <w:r w:rsidRPr="00FB5292">
        <w:lastRenderedPageBreak/>
        <w:t>Appendix</w:t>
      </w:r>
      <w:r w:rsidRPr="00F90A13">
        <w:t xml:space="preserve"> B</w:t>
      </w:r>
      <w:r w:rsidRPr="00FB5292">
        <w:t xml:space="preserve">: </w:t>
      </w:r>
      <w:r>
        <w:t xml:space="preserve">Provincial Funding of </w:t>
      </w:r>
      <w:r w:rsidRPr="00F90A13">
        <w:t xml:space="preserve">Treatments for </w:t>
      </w:r>
      <w:r>
        <w:rPr>
          <w:szCs w:val="28"/>
        </w:rPr>
        <w:t>CLL</w:t>
      </w:r>
    </w:p>
    <w:p w14:paraId="1894362C" w14:textId="77777777" w:rsidR="00967FFB" w:rsidRDefault="00967FFB" w:rsidP="00967FFB">
      <w:pPr>
        <w:pStyle w:val="pCODR01AppendixHeader"/>
        <w:rPr>
          <w:b w:val="0"/>
          <w:sz w:val="22"/>
          <w:szCs w:val="22"/>
        </w:rPr>
      </w:pPr>
      <w:r w:rsidRPr="002A7B65">
        <w:rPr>
          <w:b w:val="0"/>
          <w:sz w:val="22"/>
          <w:szCs w:val="22"/>
        </w:rPr>
        <w:t>NOTE: All drugs subjected to eligibility criteria.</w:t>
      </w:r>
    </w:p>
    <w:p w14:paraId="324C34A9" w14:textId="77777777" w:rsidR="00967FFB" w:rsidRPr="00967FFB" w:rsidRDefault="00967FFB" w:rsidP="00967FFB">
      <w:pPr>
        <w:spacing w:after="0"/>
        <w:rPr>
          <w:sz w:val="21"/>
          <w:szCs w:val="21"/>
        </w:rPr>
      </w:pPr>
      <w:r w:rsidRPr="00967FFB">
        <w:rPr>
          <w:b/>
          <w:sz w:val="28"/>
          <w:szCs w:val="28"/>
        </w:rPr>
        <w:t>Current Funding of Treatments for Relapsed/Refractory CLL</w:t>
      </w:r>
    </w:p>
    <w:tbl>
      <w:tblPr>
        <w:tblW w:w="7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27"/>
        <w:gridCol w:w="1527"/>
        <w:gridCol w:w="1430"/>
        <w:gridCol w:w="1885"/>
        <w:gridCol w:w="1885"/>
      </w:tblGrid>
      <w:tr w:rsidR="00967FFB" w:rsidRPr="00967FFB" w14:paraId="349AA224" w14:textId="77777777" w:rsidTr="00967FFB">
        <w:trPr>
          <w:trHeight w:val="120"/>
        </w:trPr>
        <w:tc>
          <w:tcPr>
            <w:tcW w:w="727" w:type="dxa"/>
            <w:shd w:val="clear" w:color="auto" w:fill="D9D9D9" w:themeFill="background1" w:themeFillShade="D9"/>
          </w:tcPr>
          <w:p w14:paraId="308D1176" w14:textId="77777777" w:rsidR="00967FFB" w:rsidRPr="00967FFB" w:rsidRDefault="00967FFB" w:rsidP="00967FFB">
            <w:pPr>
              <w:spacing w:after="0"/>
              <w:contextualSpacing/>
              <w:jc w:val="center"/>
              <w:rPr>
                <w:b/>
                <w:bCs/>
                <w:szCs w:val="20"/>
              </w:rPr>
            </w:pPr>
          </w:p>
        </w:tc>
        <w:tc>
          <w:tcPr>
            <w:tcW w:w="1527" w:type="dxa"/>
            <w:shd w:val="clear" w:color="auto" w:fill="D9D9D9" w:themeFill="background1" w:themeFillShade="D9"/>
          </w:tcPr>
          <w:p w14:paraId="2EE39C15" w14:textId="77777777" w:rsidR="00967FFB" w:rsidRPr="00967FFB" w:rsidRDefault="00967FFB" w:rsidP="00967FFB">
            <w:pPr>
              <w:spacing w:after="0"/>
              <w:contextualSpacing/>
              <w:jc w:val="center"/>
              <w:rPr>
                <w:b/>
                <w:bCs/>
                <w:szCs w:val="20"/>
              </w:rPr>
            </w:pPr>
            <w:r w:rsidRPr="00967FFB">
              <w:rPr>
                <w:b/>
                <w:bCs/>
                <w:szCs w:val="20"/>
              </w:rPr>
              <w:t>Bendamustine hydrochloride</w:t>
            </w:r>
          </w:p>
        </w:tc>
        <w:tc>
          <w:tcPr>
            <w:tcW w:w="1430" w:type="dxa"/>
            <w:shd w:val="clear" w:color="auto" w:fill="D9D9D9" w:themeFill="background1" w:themeFillShade="D9"/>
          </w:tcPr>
          <w:p w14:paraId="6CE79EA7" w14:textId="77777777" w:rsidR="00967FFB" w:rsidRPr="00967FFB" w:rsidRDefault="00967FFB" w:rsidP="00967FFB">
            <w:pPr>
              <w:spacing w:after="0"/>
              <w:contextualSpacing/>
              <w:jc w:val="center"/>
              <w:rPr>
                <w:b/>
                <w:bCs/>
                <w:szCs w:val="20"/>
              </w:rPr>
            </w:pPr>
            <w:r w:rsidRPr="00967FFB">
              <w:rPr>
                <w:b/>
                <w:bCs/>
                <w:szCs w:val="20"/>
              </w:rPr>
              <w:t>Ibrutinib</w:t>
            </w:r>
          </w:p>
        </w:tc>
        <w:tc>
          <w:tcPr>
            <w:tcW w:w="1885" w:type="dxa"/>
            <w:shd w:val="clear" w:color="auto" w:fill="D9D9D9" w:themeFill="background1" w:themeFillShade="D9"/>
          </w:tcPr>
          <w:p w14:paraId="0CBE6262" w14:textId="77777777" w:rsidR="00967FFB" w:rsidRPr="00967FFB" w:rsidRDefault="00967FFB" w:rsidP="00967FFB">
            <w:pPr>
              <w:spacing w:after="0"/>
              <w:contextualSpacing/>
              <w:jc w:val="center"/>
              <w:rPr>
                <w:b/>
                <w:bCs/>
                <w:szCs w:val="20"/>
              </w:rPr>
            </w:pPr>
            <w:r w:rsidRPr="00967FFB">
              <w:rPr>
                <w:b/>
                <w:bCs/>
                <w:szCs w:val="20"/>
              </w:rPr>
              <w:t>Idelalisib / Rituximab</w:t>
            </w:r>
          </w:p>
        </w:tc>
        <w:tc>
          <w:tcPr>
            <w:tcW w:w="1885" w:type="dxa"/>
            <w:shd w:val="clear" w:color="auto" w:fill="D9D9D9" w:themeFill="background1" w:themeFillShade="D9"/>
          </w:tcPr>
          <w:p w14:paraId="7ED10ADC" w14:textId="77777777" w:rsidR="00967FFB" w:rsidRPr="00967FFB" w:rsidRDefault="00967FFB" w:rsidP="00967FFB">
            <w:pPr>
              <w:spacing w:after="0"/>
              <w:contextualSpacing/>
              <w:jc w:val="center"/>
              <w:rPr>
                <w:b/>
                <w:bCs/>
                <w:szCs w:val="20"/>
              </w:rPr>
            </w:pPr>
            <w:r w:rsidRPr="00967FFB">
              <w:rPr>
                <w:b/>
                <w:bCs/>
                <w:szCs w:val="20"/>
              </w:rPr>
              <w:t>Venetoclax Monotherapy</w:t>
            </w:r>
          </w:p>
        </w:tc>
      </w:tr>
      <w:tr w:rsidR="00967FFB" w:rsidRPr="00967FFB" w14:paraId="6F883578" w14:textId="77777777" w:rsidTr="00967FFB">
        <w:trPr>
          <w:trHeight w:val="186"/>
        </w:trPr>
        <w:tc>
          <w:tcPr>
            <w:tcW w:w="727" w:type="dxa"/>
            <w:shd w:val="clear" w:color="auto" w:fill="auto"/>
            <w:hideMark/>
          </w:tcPr>
          <w:p w14:paraId="2B4B219C" w14:textId="77777777" w:rsidR="00967FFB" w:rsidRPr="00967FFB" w:rsidRDefault="00967FFB" w:rsidP="00967FFB">
            <w:pPr>
              <w:spacing w:after="0"/>
              <w:contextualSpacing/>
              <w:jc w:val="center"/>
              <w:rPr>
                <w:szCs w:val="20"/>
              </w:rPr>
            </w:pPr>
            <w:r w:rsidRPr="00967FFB">
              <w:rPr>
                <w:szCs w:val="20"/>
              </w:rPr>
              <w:t>BC</w:t>
            </w:r>
          </w:p>
        </w:tc>
        <w:tc>
          <w:tcPr>
            <w:tcW w:w="1527" w:type="dxa"/>
          </w:tcPr>
          <w:p w14:paraId="7C55320A"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430" w:type="dxa"/>
            <w:shd w:val="clear" w:color="auto" w:fill="auto"/>
            <w:tcMar>
              <w:top w:w="72" w:type="dxa"/>
              <w:left w:w="144" w:type="dxa"/>
              <w:bottom w:w="72" w:type="dxa"/>
              <w:right w:w="144" w:type="dxa"/>
            </w:tcMar>
          </w:tcPr>
          <w:p w14:paraId="6B6D97B3"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6661A7C9"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4B6EAA4D" w14:textId="77777777" w:rsidR="00967FFB" w:rsidRPr="00967FFB" w:rsidRDefault="00967FFB" w:rsidP="00967FFB">
            <w:pPr>
              <w:spacing w:after="0"/>
              <w:contextualSpacing/>
              <w:jc w:val="center"/>
              <w:rPr>
                <w:sz w:val="21"/>
                <w:szCs w:val="21"/>
              </w:rPr>
            </w:pPr>
            <w:r w:rsidRPr="00967FFB">
              <w:rPr>
                <w:sz w:val="21"/>
                <w:szCs w:val="21"/>
              </w:rPr>
              <w:t>†</w:t>
            </w:r>
          </w:p>
        </w:tc>
      </w:tr>
      <w:tr w:rsidR="00967FFB" w:rsidRPr="00967FFB" w14:paraId="167C5128" w14:textId="77777777" w:rsidTr="00967FFB">
        <w:trPr>
          <w:trHeight w:val="186"/>
        </w:trPr>
        <w:tc>
          <w:tcPr>
            <w:tcW w:w="727" w:type="dxa"/>
            <w:shd w:val="clear" w:color="auto" w:fill="auto"/>
            <w:hideMark/>
          </w:tcPr>
          <w:p w14:paraId="57783334" w14:textId="77777777" w:rsidR="00967FFB" w:rsidRPr="00967FFB" w:rsidRDefault="00967FFB" w:rsidP="00967FFB">
            <w:pPr>
              <w:spacing w:after="0"/>
              <w:contextualSpacing/>
              <w:jc w:val="center"/>
              <w:rPr>
                <w:szCs w:val="20"/>
              </w:rPr>
            </w:pPr>
            <w:r w:rsidRPr="00967FFB">
              <w:rPr>
                <w:szCs w:val="20"/>
              </w:rPr>
              <w:t>AB</w:t>
            </w:r>
          </w:p>
        </w:tc>
        <w:tc>
          <w:tcPr>
            <w:tcW w:w="1527" w:type="dxa"/>
          </w:tcPr>
          <w:p w14:paraId="39514069"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430" w:type="dxa"/>
            <w:shd w:val="clear" w:color="auto" w:fill="auto"/>
            <w:tcMar>
              <w:top w:w="72" w:type="dxa"/>
              <w:left w:w="144" w:type="dxa"/>
              <w:bottom w:w="72" w:type="dxa"/>
              <w:right w:w="144" w:type="dxa"/>
            </w:tcMar>
          </w:tcPr>
          <w:p w14:paraId="7D20D2E8"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6F481B85"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3C54A64B" w14:textId="77777777" w:rsidR="00967FFB" w:rsidRPr="00967FFB" w:rsidRDefault="00967FFB" w:rsidP="00967FFB">
            <w:pPr>
              <w:spacing w:after="0"/>
              <w:contextualSpacing/>
              <w:jc w:val="center"/>
              <w:rPr>
                <w:sz w:val="21"/>
                <w:szCs w:val="21"/>
              </w:rPr>
            </w:pPr>
            <w:r w:rsidRPr="00967FFB">
              <w:rPr>
                <w:sz w:val="21"/>
                <w:szCs w:val="21"/>
              </w:rPr>
              <w:t>†</w:t>
            </w:r>
          </w:p>
        </w:tc>
      </w:tr>
      <w:tr w:rsidR="00967FFB" w:rsidRPr="00967FFB" w14:paraId="18F91E50" w14:textId="77777777" w:rsidTr="00967FFB">
        <w:trPr>
          <w:trHeight w:val="186"/>
        </w:trPr>
        <w:tc>
          <w:tcPr>
            <w:tcW w:w="727" w:type="dxa"/>
            <w:shd w:val="clear" w:color="auto" w:fill="auto"/>
            <w:hideMark/>
          </w:tcPr>
          <w:p w14:paraId="3A423111" w14:textId="77777777" w:rsidR="00967FFB" w:rsidRPr="00967FFB" w:rsidRDefault="00967FFB" w:rsidP="00967FFB">
            <w:pPr>
              <w:spacing w:after="0"/>
              <w:contextualSpacing/>
              <w:jc w:val="center"/>
              <w:rPr>
                <w:szCs w:val="20"/>
              </w:rPr>
            </w:pPr>
            <w:r w:rsidRPr="00967FFB">
              <w:rPr>
                <w:szCs w:val="20"/>
              </w:rPr>
              <w:t>SK</w:t>
            </w:r>
          </w:p>
        </w:tc>
        <w:tc>
          <w:tcPr>
            <w:tcW w:w="1527" w:type="dxa"/>
          </w:tcPr>
          <w:p w14:paraId="1861223C" w14:textId="77777777" w:rsidR="00967FFB" w:rsidRPr="00967FFB" w:rsidRDefault="00967FFB" w:rsidP="00967FFB">
            <w:pPr>
              <w:spacing w:after="0"/>
              <w:contextualSpacing/>
              <w:jc w:val="center"/>
              <w:rPr>
                <w:szCs w:val="20"/>
              </w:rPr>
            </w:pPr>
            <w:r w:rsidRPr="00967FFB">
              <w:rPr>
                <w:sz w:val="21"/>
                <w:szCs w:val="21"/>
              </w:rPr>
              <w:sym w:font="Wingdings" w:char="F0FB"/>
            </w:r>
          </w:p>
        </w:tc>
        <w:tc>
          <w:tcPr>
            <w:tcW w:w="1430" w:type="dxa"/>
            <w:shd w:val="clear" w:color="auto" w:fill="auto"/>
            <w:tcMar>
              <w:top w:w="72" w:type="dxa"/>
              <w:left w:w="144" w:type="dxa"/>
              <w:bottom w:w="72" w:type="dxa"/>
              <w:right w:w="144" w:type="dxa"/>
            </w:tcMar>
          </w:tcPr>
          <w:p w14:paraId="616B0F18"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632EE781"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19742D43" w14:textId="77777777" w:rsidR="00967FFB" w:rsidRPr="00967FFB" w:rsidRDefault="00967FFB" w:rsidP="00967FFB">
            <w:pPr>
              <w:spacing w:after="0"/>
              <w:contextualSpacing/>
              <w:jc w:val="center"/>
              <w:rPr>
                <w:sz w:val="21"/>
                <w:szCs w:val="21"/>
              </w:rPr>
            </w:pPr>
            <w:r w:rsidRPr="00967FFB">
              <w:rPr>
                <w:sz w:val="21"/>
                <w:szCs w:val="21"/>
              </w:rPr>
              <w:t>†</w:t>
            </w:r>
          </w:p>
        </w:tc>
      </w:tr>
      <w:tr w:rsidR="00967FFB" w:rsidRPr="00967FFB" w14:paraId="79602219" w14:textId="77777777" w:rsidTr="00967FFB">
        <w:trPr>
          <w:trHeight w:val="186"/>
        </w:trPr>
        <w:tc>
          <w:tcPr>
            <w:tcW w:w="727" w:type="dxa"/>
            <w:shd w:val="clear" w:color="auto" w:fill="auto"/>
            <w:hideMark/>
          </w:tcPr>
          <w:p w14:paraId="280C94AB" w14:textId="77777777" w:rsidR="00967FFB" w:rsidRPr="00967FFB" w:rsidRDefault="00967FFB" w:rsidP="00967FFB">
            <w:pPr>
              <w:spacing w:after="0"/>
              <w:contextualSpacing/>
              <w:jc w:val="center"/>
              <w:rPr>
                <w:szCs w:val="20"/>
              </w:rPr>
            </w:pPr>
            <w:r w:rsidRPr="00967FFB">
              <w:rPr>
                <w:szCs w:val="20"/>
              </w:rPr>
              <w:t>MB</w:t>
            </w:r>
          </w:p>
        </w:tc>
        <w:tc>
          <w:tcPr>
            <w:tcW w:w="1527" w:type="dxa"/>
          </w:tcPr>
          <w:p w14:paraId="05B0210B" w14:textId="77777777" w:rsidR="00967FFB" w:rsidRPr="00967FFB" w:rsidRDefault="00967FFB" w:rsidP="00967FFB">
            <w:pPr>
              <w:spacing w:after="0"/>
              <w:contextualSpacing/>
              <w:jc w:val="center"/>
              <w:rPr>
                <w:szCs w:val="20"/>
              </w:rPr>
            </w:pPr>
            <w:r w:rsidRPr="00967FFB">
              <w:rPr>
                <w:sz w:val="21"/>
                <w:szCs w:val="21"/>
              </w:rPr>
              <w:sym w:font="Wingdings" w:char="F0FB"/>
            </w:r>
          </w:p>
        </w:tc>
        <w:tc>
          <w:tcPr>
            <w:tcW w:w="1430" w:type="dxa"/>
            <w:shd w:val="clear" w:color="auto" w:fill="auto"/>
            <w:tcMar>
              <w:top w:w="72" w:type="dxa"/>
              <w:left w:w="144" w:type="dxa"/>
              <w:bottom w:w="72" w:type="dxa"/>
              <w:right w:w="144" w:type="dxa"/>
            </w:tcMar>
          </w:tcPr>
          <w:p w14:paraId="50F049F5"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2D52273A"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43B7B323" w14:textId="77777777" w:rsidR="00967FFB" w:rsidRPr="00967FFB" w:rsidRDefault="00967FFB" w:rsidP="00967FFB">
            <w:pPr>
              <w:spacing w:after="0"/>
              <w:contextualSpacing/>
              <w:jc w:val="center"/>
              <w:rPr>
                <w:sz w:val="21"/>
                <w:szCs w:val="21"/>
              </w:rPr>
            </w:pPr>
            <w:r w:rsidRPr="00967FFB">
              <w:rPr>
                <w:sz w:val="21"/>
                <w:szCs w:val="21"/>
              </w:rPr>
              <w:t>†</w:t>
            </w:r>
          </w:p>
        </w:tc>
      </w:tr>
      <w:tr w:rsidR="00967FFB" w:rsidRPr="00967FFB" w14:paraId="08AD5292" w14:textId="77777777" w:rsidTr="00967FFB">
        <w:trPr>
          <w:trHeight w:val="186"/>
        </w:trPr>
        <w:tc>
          <w:tcPr>
            <w:tcW w:w="727" w:type="dxa"/>
            <w:shd w:val="clear" w:color="auto" w:fill="auto"/>
            <w:hideMark/>
          </w:tcPr>
          <w:p w14:paraId="780917DC" w14:textId="77777777" w:rsidR="00967FFB" w:rsidRPr="00967FFB" w:rsidRDefault="00967FFB" w:rsidP="00967FFB">
            <w:pPr>
              <w:spacing w:after="0"/>
              <w:contextualSpacing/>
              <w:jc w:val="center"/>
              <w:rPr>
                <w:szCs w:val="20"/>
              </w:rPr>
            </w:pPr>
            <w:r w:rsidRPr="00967FFB">
              <w:rPr>
                <w:szCs w:val="20"/>
              </w:rPr>
              <w:t>ON</w:t>
            </w:r>
          </w:p>
        </w:tc>
        <w:tc>
          <w:tcPr>
            <w:tcW w:w="1527" w:type="dxa"/>
          </w:tcPr>
          <w:p w14:paraId="0FE539A7" w14:textId="77777777" w:rsidR="00967FFB" w:rsidRPr="00967FFB" w:rsidRDefault="00967FFB" w:rsidP="00967FFB">
            <w:pPr>
              <w:spacing w:after="0"/>
              <w:contextualSpacing/>
              <w:jc w:val="center"/>
              <w:rPr>
                <w:szCs w:val="20"/>
              </w:rPr>
            </w:pPr>
            <w:r w:rsidRPr="00967FFB">
              <w:rPr>
                <w:sz w:val="21"/>
                <w:szCs w:val="21"/>
              </w:rPr>
              <w:sym w:font="Wingdings" w:char="F0FB"/>
            </w:r>
          </w:p>
        </w:tc>
        <w:tc>
          <w:tcPr>
            <w:tcW w:w="1430" w:type="dxa"/>
            <w:shd w:val="clear" w:color="auto" w:fill="auto"/>
            <w:tcMar>
              <w:top w:w="72" w:type="dxa"/>
              <w:left w:w="144" w:type="dxa"/>
              <w:bottom w:w="72" w:type="dxa"/>
              <w:right w:w="144" w:type="dxa"/>
            </w:tcMar>
          </w:tcPr>
          <w:p w14:paraId="67E17057"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4E9FAE0B"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5EE4C02C" w14:textId="77777777" w:rsidR="00967FFB" w:rsidRPr="00967FFB" w:rsidRDefault="00967FFB" w:rsidP="00967FFB">
            <w:pPr>
              <w:spacing w:after="0"/>
              <w:contextualSpacing/>
              <w:jc w:val="center"/>
              <w:rPr>
                <w:sz w:val="21"/>
                <w:szCs w:val="21"/>
              </w:rPr>
            </w:pPr>
            <w:r w:rsidRPr="00967FFB">
              <w:rPr>
                <w:sz w:val="21"/>
                <w:szCs w:val="21"/>
              </w:rPr>
              <w:t>†</w:t>
            </w:r>
          </w:p>
        </w:tc>
      </w:tr>
      <w:tr w:rsidR="00967FFB" w:rsidRPr="00967FFB" w14:paraId="64DBF9C1" w14:textId="77777777" w:rsidTr="00967FFB">
        <w:trPr>
          <w:trHeight w:val="186"/>
        </w:trPr>
        <w:tc>
          <w:tcPr>
            <w:tcW w:w="727" w:type="dxa"/>
            <w:shd w:val="clear" w:color="auto" w:fill="auto"/>
            <w:hideMark/>
          </w:tcPr>
          <w:p w14:paraId="7C4564CE" w14:textId="77777777" w:rsidR="00967FFB" w:rsidRPr="00967FFB" w:rsidRDefault="00967FFB" w:rsidP="00967FFB">
            <w:pPr>
              <w:spacing w:after="0"/>
              <w:contextualSpacing/>
              <w:jc w:val="center"/>
              <w:rPr>
                <w:szCs w:val="20"/>
              </w:rPr>
            </w:pPr>
            <w:r w:rsidRPr="00967FFB">
              <w:rPr>
                <w:szCs w:val="20"/>
              </w:rPr>
              <w:t>NB</w:t>
            </w:r>
          </w:p>
        </w:tc>
        <w:tc>
          <w:tcPr>
            <w:tcW w:w="1527" w:type="dxa"/>
          </w:tcPr>
          <w:p w14:paraId="0D3934C4" w14:textId="77777777" w:rsidR="00967FFB" w:rsidRPr="00967FFB" w:rsidRDefault="00967FFB" w:rsidP="00967FFB">
            <w:pPr>
              <w:spacing w:after="0"/>
              <w:contextualSpacing/>
              <w:jc w:val="center"/>
              <w:rPr>
                <w:szCs w:val="20"/>
              </w:rPr>
            </w:pPr>
            <w:r w:rsidRPr="00967FFB">
              <w:rPr>
                <w:sz w:val="21"/>
                <w:szCs w:val="21"/>
              </w:rPr>
              <w:sym w:font="Wingdings" w:char="F0FB"/>
            </w:r>
          </w:p>
        </w:tc>
        <w:tc>
          <w:tcPr>
            <w:tcW w:w="1430" w:type="dxa"/>
            <w:shd w:val="clear" w:color="auto" w:fill="auto"/>
            <w:tcMar>
              <w:top w:w="72" w:type="dxa"/>
              <w:left w:w="144" w:type="dxa"/>
              <w:bottom w:w="72" w:type="dxa"/>
              <w:right w:w="144" w:type="dxa"/>
            </w:tcMar>
          </w:tcPr>
          <w:p w14:paraId="66A9F57A"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213B44F4"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79D1133D" w14:textId="77777777" w:rsidR="00967FFB" w:rsidRPr="00967FFB" w:rsidRDefault="00967FFB" w:rsidP="00967FFB">
            <w:pPr>
              <w:spacing w:after="0"/>
              <w:contextualSpacing/>
              <w:jc w:val="center"/>
              <w:rPr>
                <w:sz w:val="21"/>
                <w:szCs w:val="21"/>
              </w:rPr>
            </w:pPr>
            <w:r w:rsidRPr="00967FFB">
              <w:rPr>
                <w:sz w:val="21"/>
                <w:szCs w:val="21"/>
              </w:rPr>
              <w:t>†</w:t>
            </w:r>
          </w:p>
        </w:tc>
      </w:tr>
      <w:tr w:rsidR="00967FFB" w:rsidRPr="00967FFB" w14:paraId="55D05007" w14:textId="77777777" w:rsidTr="00967FFB">
        <w:trPr>
          <w:trHeight w:val="186"/>
        </w:trPr>
        <w:tc>
          <w:tcPr>
            <w:tcW w:w="727" w:type="dxa"/>
            <w:shd w:val="clear" w:color="auto" w:fill="auto"/>
            <w:hideMark/>
          </w:tcPr>
          <w:p w14:paraId="66093ED9" w14:textId="77777777" w:rsidR="00967FFB" w:rsidRPr="00967FFB" w:rsidRDefault="00967FFB" w:rsidP="00967FFB">
            <w:pPr>
              <w:spacing w:after="0"/>
              <w:contextualSpacing/>
              <w:jc w:val="center"/>
              <w:rPr>
                <w:szCs w:val="20"/>
              </w:rPr>
            </w:pPr>
            <w:r w:rsidRPr="00967FFB">
              <w:rPr>
                <w:szCs w:val="20"/>
              </w:rPr>
              <w:t>NS</w:t>
            </w:r>
          </w:p>
        </w:tc>
        <w:tc>
          <w:tcPr>
            <w:tcW w:w="1527" w:type="dxa"/>
          </w:tcPr>
          <w:p w14:paraId="0BBCED97" w14:textId="77777777" w:rsidR="00967FFB" w:rsidRPr="00967FFB" w:rsidRDefault="00967FFB" w:rsidP="00967FFB">
            <w:pPr>
              <w:spacing w:after="0"/>
              <w:contextualSpacing/>
              <w:jc w:val="center"/>
              <w:rPr>
                <w:szCs w:val="20"/>
              </w:rPr>
            </w:pPr>
            <w:r w:rsidRPr="00967FFB">
              <w:rPr>
                <w:sz w:val="21"/>
                <w:szCs w:val="21"/>
              </w:rPr>
              <w:sym w:font="Wingdings" w:char="F0FB"/>
            </w:r>
          </w:p>
        </w:tc>
        <w:tc>
          <w:tcPr>
            <w:tcW w:w="1430" w:type="dxa"/>
            <w:shd w:val="clear" w:color="auto" w:fill="auto"/>
            <w:tcMar>
              <w:top w:w="72" w:type="dxa"/>
              <w:left w:w="144" w:type="dxa"/>
              <w:bottom w:w="72" w:type="dxa"/>
              <w:right w:w="144" w:type="dxa"/>
            </w:tcMar>
          </w:tcPr>
          <w:p w14:paraId="69F37CC4"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3D064CE9"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35C15B17" w14:textId="77777777" w:rsidR="00967FFB" w:rsidRPr="00967FFB" w:rsidRDefault="00967FFB" w:rsidP="00967FFB">
            <w:pPr>
              <w:spacing w:after="0"/>
              <w:contextualSpacing/>
              <w:jc w:val="center"/>
              <w:rPr>
                <w:sz w:val="21"/>
                <w:szCs w:val="21"/>
              </w:rPr>
            </w:pPr>
            <w:r w:rsidRPr="00967FFB">
              <w:rPr>
                <w:sz w:val="21"/>
                <w:szCs w:val="21"/>
              </w:rPr>
              <w:t>†</w:t>
            </w:r>
          </w:p>
        </w:tc>
      </w:tr>
      <w:tr w:rsidR="00967FFB" w:rsidRPr="00967FFB" w14:paraId="6D2AB91D" w14:textId="77777777" w:rsidTr="00967FFB">
        <w:trPr>
          <w:trHeight w:val="186"/>
        </w:trPr>
        <w:tc>
          <w:tcPr>
            <w:tcW w:w="727" w:type="dxa"/>
            <w:shd w:val="clear" w:color="auto" w:fill="auto"/>
            <w:hideMark/>
          </w:tcPr>
          <w:p w14:paraId="339B121B" w14:textId="77777777" w:rsidR="00967FFB" w:rsidRPr="00967FFB" w:rsidRDefault="00967FFB" w:rsidP="00967FFB">
            <w:pPr>
              <w:spacing w:after="0"/>
              <w:contextualSpacing/>
              <w:jc w:val="center"/>
              <w:rPr>
                <w:szCs w:val="20"/>
              </w:rPr>
            </w:pPr>
            <w:r w:rsidRPr="00967FFB">
              <w:rPr>
                <w:szCs w:val="20"/>
              </w:rPr>
              <w:t>NL</w:t>
            </w:r>
          </w:p>
        </w:tc>
        <w:tc>
          <w:tcPr>
            <w:tcW w:w="1527" w:type="dxa"/>
          </w:tcPr>
          <w:p w14:paraId="5F126F6C" w14:textId="77777777" w:rsidR="00967FFB" w:rsidRPr="00967FFB" w:rsidRDefault="00967FFB" w:rsidP="00967FFB">
            <w:pPr>
              <w:spacing w:after="0"/>
              <w:contextualSpacing/>
              <w:jc w:val="center"/>
              <w:rPr>
                <w:sz w:val="21"/>
                <w:szCs w:val="21"/>
              </w:rPr>
            </w:pPr>
            <w:r w:rsidRPr="00967FFB">
              <w:rPr>
                <w:sz w:val="21"/>
                <w:szCs w:val="21"/>
              </w:rPr>
              <w:sym w:font="Wingdings" w:char="F0FB"/>
            </w:r>
          </w:p>
        </w:tc>
        <w:tc>
          <w:tcPr>
            <w:tcW w:w="1430" w:type="dxa"/>
            <w:shd w:val="clear" w:color="auto" w:fill="auto"/>
            <w:tcMar>
              <w:top w:w="72" w:type="dxa"/>
              <w:left w:w="144" w:type="dxa"/>
              <w:bottom w:w="72" w:type="dxa"/>
              <w:right w:w="144" w:type="dxa"/>
            </w:tcMar>
          </w:tcPr>
          <w:p w14:paraId="6149655D"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57C28689" w14:textId="77777777" w:rsidR="00967FFB" w:rsidRPr="00967FFB" w:rsidRDefault="00967FFB" w:rsidP="00967FFB">
            <w:pPr>
              <w:spacing w:after="0"/>
              <w:contextualSpacing/>
              <w:jc w:val="center"/>
              <w:rPr>
                <w:szCs w:val="20"/>
              </w:rPr>
            </w:pPr>
            <w:r w:rsidRPr="00967FFB">
              <w:rPr>
                <w:sz w:val="21"/>
                <w:szCs w:val="21"/>
              </w:rPr>
              <w:sym w:font="Wingdings 2" w:char="F050"/>
            </w:r>
          </w:p>
        </w:tc>
        <w:tc>
          <w:tcPr>
            <w:tcW w:w="1885" w:type="dxa"/>
          </w:tcPr>
          <w:p w14:paraId="5CB0293C" w14:textId="77777777" w:rsidR="00967FFB" w:rsidRPr="00967FFB" w:rsidRDefault="00967FFB" w:rsidP="00967FFB">
            <w:pPr>
              <w:spacing w:after="0"/>
              <w:contextualSpacing/>
              <w:jc w:val="center"/>
              <w:rPr>
                <w:sz w:val="21"/>
                <w:szCs w:val="21"/>
              </w:rPr>
            </w:pPr>
            <w:r w:rsidRPr="00967FFB">
              <w:rPr>
                <w:sz w:val="21"/>
                <w:szCs w:val="21"/>
              </w:rPr>
              <w:t>†</w:t>
            </w:r>
          </w:p>
        </w:tc>
      </w:tr>
      <w:tr w:rsidR="00967FFB" w:rsidRPr="00967FFB" w14:paraId="60C47445" w14:textId="77777777" w:rsidTr="00967FFB">
        <w:trPr>
          <w:trHeight w:val="186"/>
        </w:trPr>
        <w:tc>
          <w:tcPr>
            <w:tcW w:w="727" w:type="dxa"/>
            <w:shd w:val="clear" w:color="auto" w:fill="auto"/>
            <w:hideMark/>
          </w:tcPr>
          <w:p w14:paraId="1B0C70F8" w14:textId="77777777" w:rsidR="00967FFB" w:rsidRPr="00967FFB" w:rsidRDefault="00967FFB" w:rsidP="00967FFB">
            <w:pPr>
              <w:spacing w:after="0"/>
              <w:contextualSpacing/>
              <w:jc w:val="center"/>
              <w:rPr>
                <w:szCs w:val="20"/>
              </w:rPr>
            </w:pPr>
            <w:r w:rsidRPr="00967FFB">
              <w:rPr>
                <w:szCs w:val="20"/>
              </w:rPr>
              <w:t>PEI</w:t>
            </w:r>
          </w:p>
        </w:tc>
        <w:tc>
          <w:tcPr>
            <w:tcW w:w="1527" w:type="dxa"/>
          </w:tcPr>
          <w:p w14:paraId="47568F11" w14:textId="77777777" w:rsidR="00967FFB" w:rsidRPr="00967FFB" w:rsidRDefault="00967FFB" w:rsidP="00967FFB">
            <w:pPr>
              <w:spacing w:after="0"/>
              <w:contextualSpacing/>
              <w:jc w:val="center"/>
              <w:rPr>
                <w:sz w:val="21"/>
                <w:szCs w:val="21"/>
              </w:rPr>
            </w:pPr>
            <w:r w:rsidRPr="00967FFB">
              <w:rPr>
                <w:sz w:val="21"/>
                <w:szCs w:val="21"/>
              </w:rPr>
              <w:sym w:font="Wingdings" w:char="F0FB"/>
            </w:r>
          </w:p>
        </w:tc>
        <w:tc>
          <w:tcPr>
            <w:tcW w:w="1430" w:type="dxa"/>
            <w:shd w:val="clear" w:color="auto" w:fill="auto"/>
            <w:tcMar>
              <w:top w:w="72" w:type="dxa"/>
              <w:left w:w="144" w:type="dxa"/>
              <w:bottom w:w="72" w:type="dxa"/>
              <w:right w:w="144" w:type="dxa"/>
            </w:tcMar>
          </w:tcPr>
          <w:p w14:paraId="5EBB691F" w14:textId="77777777" w:rsidR="00967FFB" w:rsidRPr="00967FFB" w:rsidRDefault="00967FFB" w:rsidP="00967FFB">
            <w:pPr>
              <w:spacing w:after="0"/>
              <w:contextualSpacing/>
              <w:jc w:val="center"/>
              <w:rPr>
                <w:szCs w:val="20"/>
              </w:rPr>
            </w:pPr>
            <w:r w:rsidRPr="00967FFB">
              <w:rPr>
                <w:sz w:val="21"/>
                <w:szCs w:val="21"/>
              </w:rPr>
              <w:t>†</w:t>
            </w:r>
          </w:p>
        </w:tc>
        <w:tc>
          <w:tcPr>
            <w:tcW w:w="1885" w:type="dxa"/>
          </w:tcPr>
          <w:p w14:paraId="56BCC452" w14:textId="77777777" w:rsidR="00967FFB" w:rsidRPr="00967FFB" w:rsidRDefault="00967FFB" w:rsidP="00967FFB">
            <w:pPr>
              <w:spacing w:after="0"/>
              <w:contextualSpacing/>
              <w:jc w:val="center"/>
              <w:rPr>
                <w:szCs w:val="20"/>
              </w:rPr>
            </w:pPr>
            <w:r w:rsidRPr="00967FFB">
              <w:rPr>
                <w:sz w:val="21"/>
                <w:szCs w:val="21"/>
              </w:rPr>
              <w:t>†</w:t>
            </w:r>
          </w:p>
        </w:tc>
        <w:tc>
          <w:tcPr>
            <w:tcW w:w="1885" w:type="dxa"/>
          </w:tcPr>
          <w:p w14:paraId="22C45382" w14:textId="77777777" w:rsidR="00967FFB" w:rsidRPr="00967FFB" w:rsidRDefault="00967FFB" w:rsidP="00967FFB">
            <w:pPr>
              <w:spacing w:after="0"/>
              <w:contextualSpacing/>
              <w:jc w:val="center"/>
              <w:rPr>
                <w:sz w:val="21"/>
                <w:szCs w:val="21"/>
              </w:rPr>
            </w:pPr>
            <w:r w:rsidRPr="00967FFB">
              <w:rPr>
                <w:sz w:val="21"/>
                <w:szCs w:val="21"/>
              </w:rPr>
              <w:t>†</w:t>
            </w:r>
          </w:p>
        </w:tc>
      </w:tr>
    </w:tbl>
    <w:p w14:paraId="71F35AEB" w14:textId="2B3BE4A9" w:rsidR="00967FFB" w:rsidRPr="00967FFB" w:rsidRDefault="00967FFB" w:rsidP="00967FFB">
      <w:pPr>
        <w:spacing w:after="0"/>
        <w:rPr>
          <w:sz w:val="18"/>
          <w:szCs w:val="21"/>
        </w:rPr>
      </w:pPr>
      <w:r w:rsidRPr="00967FFB">
        <w:rPr>
          <w:sz w:val="18"/>
          <w:szCs w:val="21"/>
        </w:rPr>
        <w:sym w:font="Wingdings 2" w:char="F050"/>
      </w:r>
      <w:r w:rsidRPr="00967FFB">
        <w:rPr>
          <w:sz w:val="18"/>
          <w:szCs w:val="21"/>
        </w:rPr>
        <w:t xml:space="preserve"> Funded, </w:t>
      </w:r>
      <w:r w:rsidRPr="00967FFB">
        <w:rPr>
          <w:sz w:val="18"/>
          <w:szCs w:val="21"/>
        </w:rPr>
        <w:sym w:font="Wingdings" w:char="F0FB"/>
      </w:r>
      <w:r w:rsidRPr="00967FFB">
        <w:rPr>
          <w:sz w:val="18"/>
          <w:szCs w:val="21"/>
        </w:rPr>
        <w:t xml:space="preserve"> Not funded, † Funding decision pending</w:t>
      </w:r>
    </w:p>
    <w:p w14:paraId="1FF3D126" w14:textId="77777777" w:rsidR="00967FFB" w:rsidRPr="00967FFB" w:rsidRDefault="00967FFB" w:rsidP="00967FFB">
      <w:pPr>
        <w:contextualSpacing/>
        <w:rPr>
          <w:b/>
          <w:sz w:val="28"/>
          <w:szCs w:val="28"/>
        </w:rPr>
      </w:pPr>
    </w:p>
    <w:p w14:paraId="67AB684F" w14:textId="77777777" w:rsidR="00967FFB" w:rsidRPr="00967FFB" w:rsidRDefault="00967FFB" w:rsidP="00967FFB">
      <w:pPr>
        <w:spacing w:after="0"/>
        <w:contextualSpacing/>
        <w:rPr>
          <w:b/>
          <w:sz w:val="28"/>
          <w:szCs w:val="28"/>
        </w:rPr>
      </w:pPr>
      <w:r w:rsidRPr="00967FFB">
        <w:rPr>
          <w:b/>
          <w:sz w:val="28"/>
          <w:szCs w:val="28"/>
        </w:rPr>
        <w:t>Current Funding of First-line Treatments for CLL</w:t>
      </w:r>
    </w:p>
    <w:tbl>
      <w:tblPr>
        <w:tblW w:w="7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06"/>
        <w:gridCol w:w="1436"/>
        <w:gridCol w:w="1831"/>
        <w:gridCol w:w="1831"/>
        <w:gridCol w:w="1831"/>
      </w:tblGrid>
      <w:tr w:rsidR="00967FFB" w:rsidRPr="00967FFB" w14:paraId="77A53EAF" w14:textId="77777777" w:rsidTr="00967FFB">
        <w:trPr>
          <w:trHeight w:val="176"/>
        </w:trPr>
        <w:tc>
          <w:tcPr>
            <w:tcW w:w="706" w:type="dxa"/>
            <w:shd w:val="clear" w:color="auto" w:fill="D9D9D9" w:themeFill="background1" w:themeFillShade="D9"/>
          </w:tcPr>
          <w:p w14:paraId="35CD7FCF" w14:textId="77777777" w:rsidR="00967FFB" w:rsidRPr="00967FFB" w:rsidRDefault="00967FFB" w:rsidP="00F55137">
            <w:pPr>
              <w:spacing w:after="0"/>
              <w:contextualSpacing/>
              <w:jc w:val="center"/>
              <w:rPr>
                <w:b/>
                <w:bCs/>
                <w:szCs w:val="20"/>
              </w:rPr>
            </w:pPr>
          </w:p>
        </w:tc>
        <w:tc>
          <w:tcPr>
            <w:tcW w:w="1436" w:type="dxa"/>
            <w:shd w:val="clear" w:color="auto" w:fill="D9D9D9" w:themeFill="background1" w:themeFillShade="D9"/>
          </w:tcPr>
          <w:p w14:paraId="27ACEB43" w14:textId="77777777" w:rsidR="00967FFB" w:rsidRPr="00967FFB" w:rsidRDefault="00967FFB" w:rsidP="00F55137">
            <w:pPr>
              <w:spacing w:after="0"/>
              <w:contextualSpacing/>
              <w:jc w:val="center"/>
              <w:rPr>
                <w:b/>
                <w:bCs/>
                <w:szCs w:val="20"/>
              </w:rPr>
            </w:pPr>
            <w:r w:rsidRPr="00967FFB">
              <w:rPr>
                <w:b/>
                <w:bCs/>
                <w:szCs w:val="20"/>
              </w:rPr>
              <w:t>Ofatumumab</w:t>
            </w:r>
          </w:p>
        </w:tc>
        <w:tc>
          <w:tcPr>
            <w:tcW w:w="1831" w:type="dxa"/>
            <w:shd w:val="clear" w:color="auto" w:fill="D9D9D9" w:themeFill="background1" w:themeFillShade="D9"/>
          </w:tcPr>
          <w:p w14:paraId="2FCA329F" w14:textId="77777777" w:rsidR="00967FFB" w:rsidRPr="00967FFB" w:rsidRDefault="00967FFB" w:rsidP="00F55137">
            <w:pPr>
              <w:spacing w:after="0"/>
              <w:contextualSpacing/>
              <w:jc w:val="center"/>
              <w:rPr>
                <w:b/>
                <w:bCs/>
                <w:szCs w:val="20"/>
              </w:rPr>
            </w:pPr>
            <w:r w:rsidRPr="00967FFB">
              <w:rPr>
                <w:b/>
                <w:bCs/>
                <w:szCs w:val="20"/>
              </w:rPr>
              <w:t>Obinutuzumab / Chlorambucil</w:t>
            </w:r>
          </w:p>
        </w:tc>
        <w:tc>
          <w:tcPr>
            <w:tcW w:w="1831" w:type="dxa"/>
            <w:shd w:val="clear" w:color="auto" w:fill="D9D9D9" w:themeFill="background1" w:themeFillShade="D9"/>
          </w:tcPr>
          <w:p w14:paraId="7B04C9F6" w14:textId="77777777" w:rsidR="00967FFB" w:rsidRPr="00967FFB" w:rsidRDefault="00967FFB" w:rsidP="00F55137">
            <w:pPr>
              <w:spacing w:after="0"/>
              <w:contextualSpacing/>
              <w:jc w:val="center"/>
              <w:rPr>
                <w:b/>
                <w:bCs/>
                <w:szCs w:val="20"/>
              </w:rPr>
            </w:pPr>
            <w:r w:rsidRPr="00967FFB">
              <w:rPr>
                <w:b/>
                <w:bCs/>
                <w:szCs w:val="20"/>
              </w:rPr>
              <w:t>Bendamustine hydrochloride</w:t>
            </w:r>
          </w:p>
        </w:tc>
        <w:tc>
          <w:tcPr>
            <w:tcW w:w="1831" w:type="dxa"/>
            <w:shd w:val="clear" w:color="auto" w:fill="D9D9D9" w:themeFill="background1" w:themeFillShade="D9"/>
          </w:tcPr>
          <w:p w14:paraId="01C4D829" w14:textId="77777777" w:rsidR="00967FFB" w:rsidRPr="00967FFB" w:rsidRDefault="00967FFB" w:rsidP="00F55137">
            <w:pPr>
              <w:spacing w:after="0"/>
              <w:contextualSpacing/>
              <w:jc w:val="center"/>
              <w:rPr>
                <w:b/>
                <w:bCs/>
                <w:szCs w:val="20"/>
              </w:rPr>
            </w:pPr>
            <w:r w:rsidRPr="00967FFB">
              <w:rPr>
                <w:b/>
                <w:bCs/>
                <w:szCs w:val="20"/>
              </w:rPr>
              <w:t>Ibrutinib</w:t>
            </w:r>
          </w:p>
        </w:tc>
      </w:tr>
      <w:tr w:rsidR="00967FFB" w:rsidRPr="00967FFB" w14:paraId="2404EA98" w14:textId="77777777" w:rsidTr="00967FFB">
        <w:trPr>
          <w:trHeight w:val="272"/>
        </w:trPr>
        <w:tc>
          <w:tcPr>
            <w:tcW w:w="706" w:type="dxa"/>
            <w:shd w:val="clear" w:color="auto" w:fill="auto"/>
            <w:hideMark/>
          </w:tcPr>
          <w:p w14:paraId="1962BCB6" w14:textId="77777777" w:rsidR="00967FFB" w:rsidRPr="00967FFB" w:rsidRDefault="00967FFB" w:rsidP="00F55137">
            <w:pPr>
              <w:spacing w:after="0"/>
              <w:contextualSpacing/>
              <w:jc w:val="center"/>
              <w:rPr>
                <w:szCs w:val="20"/>
              </w:rPr>
            </w:pPr>
            <w:r w:rsidRPr="00967FFB">
              <w:rPr>
                <w:szCs w:val="20"/>
              </w:rPr>
              <w:t>BC</w:t>
            </w:r>
          </w:p>
        </w:tc>
        <w:tc>
          <w:tcPr>
            <w:tcW w:w="1436" w:type="dxa"/>
            <w:shd w:val="clear" w:color="auto" w:fill="auto"/>
            <w:tcMar>
              <w:top w:w="72" w:type="dxa"/>
              <w:left w:w="144" w:type="dxa"/>
              <w:bottom w:w="72" w:type="dxa"/>
              <w:right w:w="144" w:type="dxa"/>
            </w:tcMar>
          </w:tcPr>
          <w:p w14:paraId="7BEE4357" w14:textId="77777777" w:rsidR="00967FFB" w:rsidRPr="00967FFB" w:rsidRDefault="00967FFB" w:rsidP="00F55137">
            <w:pPr>
              <w:spacing w:after="0"/>
              <w:contextualSpacing/>
              <w:jc w:val="center"/>
              <w:rPr>
                <w:szCs w:val="20"/>
              </w:rPr>
            </w:pPr>
            <w:r w:rsidRPr="00967FFB">
              <w:rPr>
                <w:sz w:val="21"/>
                <w:szCs w:val="21"/>
              </w:rPr>
              <w:sym w:font="Wingdings" w:char="F0FB"/>
            </w:r>
          </w:p>
        </w:tc>
        <w:tc>
          <w:tcPr>
            <w:tcW w:w="1831" w:type="dxa"/>
          </w:tcPr>
          <w:p w14:paraId="7E9A6DC4"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05720080"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0189F191" w14:textId="77777777" w:rsidR="00967FFB" w:rsidRPr="00967FFB" w:rsidRDefault="00967FFB" w:rsidP="00F55137">
            <w:pPr>
              <w:spacing w:after="0"/>
              <w:contextualSpacing/>
              <w:jc w:val="center"/>
              <w:rPr>
                <w:szCs w:val="20"/>
              </w:rPr>
            </w:pPr>
            <w:r w:rsidRPr="00967FFB">
              <w:rPr>
                <w:sz w:val="21"/>
                <w:szCs w:val="21"/>
              </w:rPr>
              <w:sym w:font="Wingdings 2" w:char="F050"/>
            </w:r>
          </w:p>
        </w:tc>
      </w:tr>
      <w:tr w:rsidR="00967FFB" w:rsidRPr="00967FFB" w14:paraId="45D567E7" w14:textId="77777777" w:rsidTr="00967FFB">
        <w:trPr>
          <w:trHeight w:val="272"/>
        </w:trPr>
        <w:tc>
          <w:tcPr>
            <w:tcW w:w="706" w:type="dxa"/>
            <w:shd w:val="clear" w:color="auto" w:fill="auto"/>
            <w:hideMark/>
          </w:tcPr>
          <w:p w14:paraId="6BA8956B" w14:textId="77777777" w:rsidR="00967FFB" w:rsidRPr="00967FFB" w:rsidRDefault="00967FFB" w:rsidP="00F55137">
            <w:pPr>
              <w:spacing w:after="0"/>
              <w:contextualSpacing/>
              <w:jc w:val="center"/>
              <w:rPr>
                <w:szCs w:val="20"/>
              </w:rPr>
            </w:pPr>
            <w:r w:rsidRPr="00967FFB">
              <w:rPr>
                <w:szCs w:val="20"/>
              </w:rPr>
              <w:t>AB</w:t>
            </w:r>
          </w:p>
        </w:tc>
        <w:tc>
          <w:tcPr>
            <w:tcW w:w="1436" w:type="dxa"/>
            <w:shd w:val="clear" w:color="auto" w:fill="auto"/>
            <w:tcMar>
              <w:top w:w="72" w:type="dxa"/>
              <w:left w:w="144" w:type="dxa"/>
              <w:bottom w:w="72" w:type="dxa"/>
              <w:right w:w="144" w:type="dxa"/>
            </w:tcMar>
          </w:tcPr>
          <w:p w14:paraId="3D792B29" w14:textId="77777777" w:rsidR="00967FFB" w:rsidRPr="00967FFB" w:rsidRDefault="00967FFB" w:rsidP="00F55137">
            <w:pPr>
              <w:spacing w:after="0"/>
              <w:contextualSpacing/>
              <w:jc w:val="center"/>
              <w:rPr>
                <w:szCs w:val="20"/>
              </w:rPr>
            </w:pPr>
            <w:r w:rsidRPr="00967FFB">
              <w:rPr>
                <w:sz w:val="21"/>
                <w:szCs w:val="21"/>
              </w:rPr>
              <w:sym w:font="Wingdings" w:char="F0FB"/>
            </w:r>
          </w:p>
        </w:tc>
        <w:tc>
          <w:tcPr>
            <w:tcW w:w="1831" w:type="dxa"/>
          </w:tcPr>
          <w:p w14:paraId="6C799ABC"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10320C25"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6B08A601" w14:textId="77777777" w:rsidR="00967FFB" w:rsidRPr="00967FFB" w:rsidRDefault="00967FFB" w:rsidP="00F55137">
            <w:pPr>
              <w:spacing w:after="0"/>
              <w:contextualSpacing/>
              <w:jc w:val="center"/>
              <w:rPr>
                <w:szCs w:val="20"/>
              </w:rPr>
            </w:pPr>
            <w:r w:rsidRPr="00967FFB">
              <w:rPr>
                <w:sz w:val="21"/>
                <w:szCs w:val="21"/>
              </w:rPr>
              <w:sym w:font="Wingdings 2" w:char="F050"/>
            </w:r>
          </w:p>
        </w:tc>
      </w:tr>
      <w:tr w:rsidR="00967FFB" w:rsidRPr="00967FFB" w14:paraId="57CFE61D" w14:textId="77777777" w:rsidTr="00967FFB">
        <w:trPr>
          <w:trHeight w:val="272"/>
        </w:trPr>
        <w:tc>
          <w:tcPr>
            <w:tcW w:w="706" w:type="dxa"/>
            <w:shd w:val="clear" w:color="auto" w:fill="auto"/>
            <w:hideMark/>
          </w:tcPr>
          <w:p w14:paraId="26FFE65B" w14:textId="77777777" w:rsidR="00967FFB" w:rsidRPr="00967FFB" w:rsidRDefault="00967FFB" w:rsidP="00F55137">
            <w:pPr>
              <w:spacing w:after="0"/>
              <w:contextualSpacing/>
              <w:jc w:val="center"/>
              <w:rPr>
                <w:szCs w:val="20"/>
              </w:rPr>
            </w:pPr>
            <w:r w:rsidRPr="00967FFB">
              <w:rPr>
                <w:szCs w:val="20"/>
              </w:rPr>
              <w:t>SK</w:t>
            </w:r>
          </w:p>
        </w:tc>
        <w:tc>
          <w:tcPr>
            <w:tcW w:w="1436" w:type="dxa"/>
            <w:shd w:val="clear" w:color="auto" w:fill="auto"/>
            <w:tcMar>
              <w:top w:w="72" w:type="dxa"/>
              <w:left w:w="144" w:type="dxa"/>
              <w:bottom w:w="72" w:type="dxa"/>
              <w:right w:w="144" w:type="dxa"/>
            </w:tcMar>
          </w:tcPr>
          <w:p w14:paraId="4234F7F1" w14:textId="77777777" w:rsidR="00967FFB" w:rsidRPr="00967FFB" w:rsidRDefault="00967FFB" w:rsidP="00F55137">
            <w:pPr>
              <w:spacing w:after="0"/>
              <w:contextualSpacing/>
              <w:jc w:val="center"/>
              <w:rPr>
                <w:szCs w:val="20"/>
              </w:rPr>
            </w:pPr>
            <w:r w:rsidRPr="00967FFB">
              <w:rPr>
                <w:sz w:val="21"/>
                <w:szCs w:val="21"/>
              </w:rPr>
              <w:sym w:font="Wingdings" w:char="F0FB"/>
            </w:r>
          </w:p>
        </w:tc>
        <w:tc>
          <w:tcPr>
            <w:tcW w:w="1831" w:type="dxa"/>
          </w:tcPr>
          <w:p w14:paraId="0518ABF3"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1E894320"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12E0DECC" w14:textId="77777777" w:rsidR="00967FFB" w:rsidRPr="00967FFB" w:rsidRDefault="00967FFB" w:rsidP="00F55137">
            <w:pPr>
              <w:spacing w:after="0"/>
              <w:contextualSpacing/>
              <w:jc w:val="center"/>
              <w:rPr>
                <w:szCs w:val="20"/>
              </w:rPr>
            </w:pPr>
            <w:r w:rsidRPr="00967FFB">
              <w:rPr>
                <w:sz w:val="21"/>
                <w:szCs w:val="21"/>
              </w:rPr>
              <w:sym w:font="Wingdings 2" w:char="F050"/>
            </w:r>
          </w:p>
        </w:tc>
      </w:tr>
      <w:tr w:rsidR="00967FFB" w:rsidRPr="00967FFB" w14:paraId="028E1E9F" w14:textId="77777777" w:rsidTr="00967FFB">
        <w:trPr>
          <w:trHeight w:val="272"/>
        </w:trPr>
        <w:tc>
          <w:tcPr>
            <w:tcW w:w="706" w:type="dxa"/>
            <w:shd w:val="clear" w:color="auto" w:fill="auto"/>
            <w:hideMark/>
          </w:tcPr>
          <w:p w14:paraId="5DBBD49A" w14:textId="77777777" w:rsidR="00967FFB" w:rsidRPr="00967FFB" w:rsidRDefault="00967FFB" w:rsidP="00F55137">
            <w:pPr>
              <w:spacing w:after="0"/>
              <w:contextualSpacing/>
              <w:jc w:val="center"/>
              <w:rPr>
                <w:szCs w:val="20"/>
              </w:rPr>
            </w:pPr>
            <w:r w:rsidRPr="00967FFB">
              <w:rPr>
                <w:szCs w:val="20"/>
              </w:rPr>
              <w:t>MB</w:t>
            </w:r>
          </w:p>
        </w:tc>
        <w:tc>
          <w:tcPr>
            <w:tcW w:w="1436" w:type="dxa"/>
            <w:shd w:val="clear" w:color="auto" w:fill="auto"/>
            <w:tcMar>
              <w:top w:w="72" w:type="dxa"/>
              <w:left w:w="144" w:type="dxa"/>
              <w:bottom w:w="72" w:type="dxa"/>
              <w:right w:w="144" w:type="dxa"/>
            </w:tcMar>
          </w:tcPr>
          <w:p w14:paraId="09D811A2" w14:textId="77777777" w:rsidR="00967FFB" w:rsidRPr="00967FFB" w:rsidRDefault="00967FFB" w:rsidP="00F55137">
            <w:pPr>
              <w:spacing w:after="0"/>
              <w:contextualSpacing/>
              <w:jc w:val="center"/>
              <w:rPr>
                <w:szCs w:val="20"/>
              </w:rPr>
            </w:pPr>
            <w:r w:rsidRPr="00967FFB">
              <w:rPr>
                <w:sz w:val="21"/>
                <w:szCs w:val="21"/>
              </w:rPr>
              <w:sym w:font="Wingdings" w:char="F0FB"/>
            </w:r>
          </w:p>
        </w:tc>
        <w:tc>
          <w:tcPr>
            <w:tcW w:w="1831" w:type="dxa"/>
          </w:tcPr>
          <w:p w14:paraId="412926BA"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62BF9438"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6AA622B3" w14:textId="77777777" w:rsidR="00967FFB" w:rsidRPr="00967FFB" w:rsidRDefault="00967FFB" w:rsidP="00F55137">
            <w:pPr>
              <w:spacing w:after="0"/>
              <w:contextualSpacing/>
              <w:jc w:val="center"/>
              <w:rPr>
                <w:szCs w:val="20"/>
              </w:rPr>
            </w:pPr>
            <w:r w:rsidRPr="00967FFB">
              <w:rPr>
                <w:sz w:val="21"/>
                <w:szCs w:val="21"/>
              </w:rPr>
              <w:sym w:font="Wingdings 2" w:char="F050"/>
            </w:r>
          </w:p>
        </w:tc>
      </w:tr>
      <w:tr w:rsidR="00967FFB" w:rsidRPr="00967FFB" w14:paraId="27D51303" w14:textId="77777777" w:rsidTr="00967FFB">
        <w:trPr>
          <w:trHeight w:val="272"/>
        </w:trPr>
        <w:tc>
          <w:tcPr>
            <w:tcW w:w="706" w:type="dxa"/>
            <w:shd w:val="clear" w:color="auto" w:fill="auto"/>
            <w:hideMark/>
          </w:tcPr>
          <w:p w14:paraId="21397B54" w14:textId="77777777" w:rsidR="00967FFB" w:rsidRPr="00967FFB" w:rsidRDefault="00967FFB" w:rsidP="00F55137">
            <w:pPr>
              <w:spacing w:after="0"/>
              <w:contextualSpacing/>
              <w:jc w:val="center"/>
              <w:rPr>
                <w:szCs w:val="20"/>
              </w:rPr>
            </w:pPr>
            <w:r w:rsidRPr="00967FFB">
              <w:rPr>
                <w:szCs w:val="20"/>
              </w:rPr>
              <w:t>ON</w:t>
            </w:r>
          </w:p>
        </w:tc>
        <w:tc>
          <w:tcPr>
            <w:tcW w:w="1436" w:type="dxa"/>
            <w:shd w:val="clear" w:color="auto" w:fill="auto"/>
            <w:tcMar>
              <w:top w:w="72" w:type="dxa"/>
              <w:left w:w="144" w:type="dxa"/>
              <w:bottom w:w="72" w:type="dxa"/>
              <w:right w:w="144" w:type="dxa"/>
            </w:tcMar>
          </w:tcPr>
          <w:p w14:paraId="353CF686" w14:textId="77777777" w:rsidR="00967FFB" w:rsidRPr="00967FFB" w:rsidRDefault="00967FFB" w:rsidP="00F55137">
            <w:pPr>
              <w:spacing w:after="0"/>
              <w:contextualSpacing/>
              <w:jc w:val="center"/>
              <w:rPr>
                <w:szCs w:val="20"/>
              </w:rPr>
            </w:pPr>
            <w:r w:rsidRPr="00967FFB">
              <w:rPr>
                <w:sz w:val="21"/>
                <w:szCs w:val="21"/>
              </w:rPr>
              <w:sym w:font="Wingdings" w:char="F0FB"/>
            </w:r>
          </w:p>
        </w:tc>
        <w:tc>
          <w:tcPr>
            <w:tcW w:w="1831" w:type="dxa"/>
          </w:tcPr>
          <w:p w14:paraId="7ECA3536"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2E686436"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75D92E60" w14:textId="77777777" w:rsidR="00967FFB" w:rsidRPr="00967FFB" w:rsidRDefault="00967FFB" w:rsidP="00F55137">
            <w:pPr>
              <w:spacing w:after="0"/>
              <w:contextualSpacing/>
              <w:jc w:val="center"/>
              <w:rPr>
                <w:szCs w:val="20"/>
              </w:rPr>
            </w:pPr>
            <w:r w:rsidRPr="00967FFB">
              <w:rPr>
                <w:sz w:val="21"/>
                <w:szCs w:val="21"/>
              </w:rPr>
              <w:sym w:font="Wingdings 2" w:char="F050"/>
            </w:r>
          </w:p>
        </w:tc>
      </w:tr>
      <w:tr w:rsidR="00967FFB" w:rsidRPr="00967FFB" w14:paraId="4AA27480" w14:textId="77777777" w:rsidTr="00967FFB">
        <w:trPr>
          <w:trHeight w:val="272"/>
        </w:trPr>
        <w:tc>
          <w:tcPr>
            <w:tcW w:w="706" w:type="dxa"/>
            <w:shd w:val="clear" w:color="auto" w:fill="auto"/>
            <w:hideMark/>
          </w:tcPr>
          <w:p w14:paraId="34471090" w14:textId="77777777" w:rsidR="00967FFB" w:rsidRPr="00967FFB" w:rsidRDefault="00967FFB" w:rsidP="00F55137">
            <w:pPr>
              <w:spacing w:after="0"/>
              <w:contextualSpacing/>
              <w:jc w:val="center"/>
              <w:rPr>
                <w:szCs w:val="20"/>
              </w:rPr>
            </w:pPr>
            <w:r w:rsidRPr="00967FFB">
              <w:rPr>
                <w:szCs w:val="20"/>
              </w:rPr>
              <w:t>NB</w:t>
            </w:r>
          </w:p>
        </w:tc>
        <w:tc>
          <w:tcPr>
            <w:tcW w:w="1436" w:type="dxa"/>
            <w:shd w:val="clear" w:color="auto" w:fill="auto"/>
            <w:tcMar>
              <w:top w:w="72" w:type="dxa"/>
              <w:left w:w="144" w:type="dxa"/>
              <w:bottom w:w="72" w:type="dxa"/>
              <w:right w:w="144" w:type="dxa"/>
            </w:tcMar>
          </w:tcPr>
          <w:p w14:paraId="2553402D" w14:textId="77777777" w:rsidR="00967FFB" w:rsidRPr="00967FFB" w:rsidRDefault="00967FFB" w:rsidP="00F55137">
            <w:pPr>
              <w:spacing w:after="0"/>
              <w:contextualSpacing/>
              <w:jc w:val="center"/>
              <w:rPr>
                <w:szCs w:val="20"/>
              </w:rPr>
            </w:pPr>
            <w:r w:rsidRPr="00967FFB">
              <w:rPr>
                <w:sz w:val="21"/>
                <w:szCs w:val="21"/>
              </w:rPr>
              <w:sym w:font="Wingdings" w:char="F0FB"/>
            </w:r>
          </w:p>
        </w:tc>
        <w:tc>
          <w:tcPr>
            <w:tcW w:w="1831" w:type="dxa"/>
          </w:tcPr>
          <w:p w14:paraId="05D1CC5A"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5C994F8B"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008D5FD7" w14:textId="77777777" w:rsidR="00967FFB" w:rsidRPr="00967FFB" w:rsidRDefault="00967FFB" w:rsidP="00F55137">
            <w:pPr>
              <w:spacing w:after="0"/>
              <w:contextualSpacing/>
              <w:jc w:val="center"/>
              <w:rPr>
                <w:sz w:val="21"/>
                <w:szCs w:val="21"/>
              </w:rPr>
            </w:pPr>
            <w:r w:rsidRPr="00967FFB">
              <w:rPr>
                <w:sz w:val="21"/>
                <w:szCs w:val="21"/>
              </w:rPr>
              <w:sym w:font="Wingdings 2" w:char="F050"/>
            </w:r>
          </w:p>
        </w:tc>
      </w:tr>
      <w:tr w:rsidR="00967FFB" w:rsidRPr="00967FFB" w14:paraId="1079E89C" w14:textId="77777777" w:rsidTr="00967FFB">
        <w:trPr>
          <w:trHeight w:val="272"/>
        </w:trPr>
        <w:tc>
          <w:tcPr>
            <w:tcW w:w="706" w:type="dxa"/>
            <w:shd w:val="clear" w:color="auto" w:fill="auto"/>
            <w:hideMark/>
          </w:tcPr>
          <w:p w14:paraId="555C3196" w14:textId="77777777" w:rsidR="00967FFB" w:rsidRPr="00967FFB" w:rsidRDefault="00967FFB" w:rsidP="00F55137">
            <w:pPr>
              <w:spacing w:after="0"/>
              <w:contextualSpacing/>
              <w:jc w:val="center"/>
              <w:rPr>
                <w:szCs w:val="20"/>
              </w:rPr>
            </w:pPr>
            <w:r w:rsidRPr="00967FFB">
              <w:rPr>
                <w:szCs w:val="20"/>
              </w:rPr>
              <w:t>NS</w:t>
            </w:r>
          </w:p>
        </w:tc>
        <w:tc>
          <w:tcPr>
            <w:tcW w:w="1436" w:type="dxa"/>
            <w:shd w:val="clear" w:color="auto" w:fill="auto"/>
            <w:tcMar>
              <w:top w:w="72" w:type="dxa"/>
              <w:left w:w="144" w:type="dxa"/>
              <w:bottom w:w="72" w:type="dxa"/>
              <w:right w:w="144" w:type="dxa"/>
            </w:tcMar>
          </w:tcPr>
          <w:p w14:paraId="4CE719B0" w14:textId="77777777" w:rsidR="00967FFB" w:rsidRPr="00967FFB" w:rsidRDefault="00967FFB" w:rsidP="00F55137">
            <w:pPr>
              <w:spacing w:after="0"/>
              <w:contextualSpacing/>
              <w:jc w:val="center"/>
              <w:rPr>
                <w:szCs w:val="20"/>
              </w:rPr>
            </w:pPr>
            <w:r w:rsidRPr="00967FFB">
              <w:rPr>
                <w:sz w:val="21"/>
                <w:szCs w:val="21"/>
              </w:rPr>
              <w:sym w:font="Wingdings" w:char="F0FB"/>
            </w:r>
          </w:p>
        </w:tc>
        <w:tc>
          <w:tcPr>
            <w:tcW w:w="1831" w:type="dxa"/>
          </w:tcPr>
          <w:p w14:paraId="58D158BE"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724648C3"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0D625595" w14:textId="77777777" w:rsidR="00967FFB" w:rsidRPr="00967FFB" w:rsidRDefault="00967FFB" w:rsidP="00F55137">
            <w:pPr>
              <w:spacing w:after="0"/>
              <w:contextualSpacing/>
              <w:jc w:val="center"/>
              <w:rPr>
                <w:sz w:val="21"/>
                <w:szCs w:val="21"/>
              </w:rPr>
            </w:pPr>
            <w:r w:rsidRPr="00967FFB">
              <w:rPr>
                <w:sz w:val="21"/>
                <w:szCs w:val="21"/>
              </w:rPr>
              <w:t>†</w:t>
            </w:r>
          </w:p>
        </w:tc>
      </w:tr>
      <w:tr w:rsidR="00967FFB" w:rsidRPr="00967FFB" w14:paraId="313FAF62" w14:textId="77777777" w:rsidTr="00967FFB">
        <w:trPr>
          <w:trHeight w:val="272"/>
        </w:trPr>
        <w:tc>
          <w:tcPr>
            <w:tcW w:w="706" w:type="dxa"/>
            <w:shd w:val="clear" w:color="auto" w:fill="auto"/>
            <w:hideMark/>
          </w:tcPr>
          <w:p w14:paraId="2FDD53FB" w14:textId="77777777" w:rsidR="00967FFB" w:rsidRPr="00967FFB" w:rsidRDefault="00967FFB" w:rsidP="00F55137">
            <w:pPr>
              <w:spacing w:after="0"/>
              <w:contextualSpacing/>
              <w:jc w:val="center"/>
              <w:rPr>
                <w:szCs w:val="20"/>
              </w:rPr>
            </w:pPr>
            <w:r w:rsidRPr="00967FFB">
              <w:rPr>
                <w:szCs w:val="20"/>
              </w:rPr>
              <w:t>NL</w:t>
            </w:r>
          </w:p>
        </w:tc>
        <w:tc>
          <w:tcPr>
            <w:tcW w:w="1436" w:type="dxa"/>
            <w:shd w:val="clear" w:color="auto" w:fill="auto"/>
            <w:tcMar>
              <w:top w:w="72" w:type="dxa"/>
              <w:left w:w="144" w:type="dxa"/>
              <w:bottom w:w="72" w:type="dxa"/>
              <w:right w:w="144" w:type="dxa"/>
            </w:tcMar>
          </w:tcPr>
          <w:p w14:paraId="58EB9D92" w14:textId="77777777" w:rsidR="00967FFB" w:rsidRPr="00967FFB" w:rsidRDefault="00967FFB" w:rsidP="00F55137">
            <w:pPr>
              <w:spacing w:after="0"/>
              <w:contextualSpacing/>
              <w:jc w:val="center"/>
              <w:rPr>
                <w:szCs w:val="20"/>
              </w:rPr>
            </w:pPr>
            <w:r w:rsidRPr="00967FFB">
              <w:rPr>
                <w:sz w:val="21"/>
                <w:szCs w:val="21"/>
              </w:rPr>
              <w:t>†</w:t>
            </w:r>
          </w:p>
        </w:tc>
        <w:tc>
          <w:tcPr>
            <w:tcW w:w="1831" w:type="dxa"/>
          </w:tcPr>
          <w:p w14:paraId="6208DEA0"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0951923F" w14:textId="77777777" w:rsidR="00967FFB" w:rsidRPr="00967FFB" w:rsidRDefault="00967FFB" w:rsidP="00F55137">
            <w:pPr>
              <w:spacing w:after="0"/>
              <w:contextualSpacing/>
              <w:jc w:val="center"/>
              <w:rPr>
                <w:szCs w:val="20"/>
              </w:rPr>
            </w:pPr>
            <w:r w:rsidRPr="00967FFB">
              <w:rPr>
                <w:sz w:val="21"/>
                <w:szCs w:val="21"/>
              </w:rPr>
              <w:sym w:font="Wingdings 2" w:char="F050"/>
            </w:r>
          </w:p>
        </w:tc>
        <w:tc>
          <w:tcPr>
            <w:tcW w:w="1831" w:type="dxa"/>
          </w:tcPr>
          <w:p w14:paraId="19642081" w14:textId="77777777" w:rsidR="00967FFB" w:rsidRPr="00967FFB" w:rsidRDefault="00967FFB" w:rsidP="00F55137">
            <w:pPr>
              <w:spacing w:after="0"/>
              <w:contextualSpacing/>
              <w:jc w:val="center"/>
              <w:rPr>
                <w:sz w:val="21"/>
                <w:szCs w:val="21"/>
              </w:rPr>
            </w:pPr>
            <w:r w:rsidRPr="00967FFB">
              <w:rPr>
                <w:sz w:val="21"/>
                <w:szCs w:val="21"/>
              </w:rPr>
              <w:t>†</w:t>
            </w:r>
          </w:p>
        </w:tc>
      </w:tr>
      <w:tr w:rsidR="00967FFB" w:rsidRPr="00967FFB" w14:paraId="31EF0777" w14:textId="77777777" w:rsidTr="00967FFB">
        <w:trPr>
          <w:trHeight w:val="272"/>
        </w:trPr>
        <w:tc>
          <w:tcPr>
            <w:tcW w:w="706" w:type="dxa"/>
            <w:shd w:val="clear" w:color="auto" w:fill="auto"/>
            <w:hideMark/>
          </w:tcPr>
          <w:p w14:paraId="7338171E" w14:textId="77777777" w:rsidR="00967FFB" w:rsidRPr="00967FFB" w:rsidRDefault="00967FFB" w:rsidP="00F55137">
            <w:pPr>
              <w:spacing w:after="0"/>
              <w:contextualSpacing/>
              <w:jc w:val="center"/>
              <w:rPr>
                <w:szCs w:val="20"/>
              </w:rPr>
            </w:pPr>
            <w:r w:rsidRPr="00967FFB">
              <w:rPr>
                <w:szCs w:val="20"/>
              </w:rPr>
              <w:t>PEI</w:t>
            </w:r>
          </w:p>
        </w:tc>
        <w:tc>
          <w:tcPr>
            <w:tcW w:w="1436" w:type="dxa"/>
            <w:shd w:val="clear" w:color="auto" w:fill="auto"/>
            <w:tcMar>
              <w:top w:w="72" w:type="dxa"/>
              <w:left w:w="144" w:type="dxa"/>
              <w:bottom w:w="72" w:type="dxa"/>
              <w:right w:w="144" w:type="dxa"/>
            </w:tcMar>
          </w:tcPr>
          <w:p w14:paraId="49DBD5E8" w14:textId="77777777" w:rsidR="00967FFB" w:rsidRPr="00967FFB" w:rsidRDefault="00967FFB" w:rsidP="00F55137">
            <w:pPr>
              <w:spacing w:after="0"/>
              <w:contextualSpacing/>
              <w:jc w:val="center"/>
              <w:rPr>
                <w:szCs w:val="20"/>
              </w:rPr>
            </w:pPr>
            <w:r w:rsidRPr="00967FFB">
              <w:rPr>
                <w:sz w:val="21"/>
                <w:szCs w:val="21"/>
              </w:rPr>
              <w:sym w:font="Wingdings" w:char="F0FB"/>
            </w:r>
          </w:p>
        </w:tc>
        <w:tc>
          <w:tcPr>
            <w:tcW w:w="1831" w:type="dxa"/>
          </w:tcPr>
          <w:p w14:paraId="11A9F070" w14:textId="77777777" w:rsidR="00967FFB" w:rsidRPr="00967FFB" w:rsidRDefault="00967FFB" w:rsidP="00F55137">
            <w:pPr>
              <w:spacing w:after="0"/>
              <w:contextualSpacing/>
              <w:jc w:val="center"/>
              <w:rPr>
                <w:szCs w:val="20"/>
              </w:rPr>
            </w:pPr>
            <w:r w:rsidRPr="00967FFB">
              <w:rPr>
                <w:sz w:val="21"/>
                <w:szCs w:val="21"/>
              </w:rPr>
              <w:t>†</w:t>
            </w:r>
          </w:p>
        </w:tc>
        <w:tc>
          <w:tcPr>
            <w:tcW w:w="1831" w:type="dxa"/>
          </w:tcPr>
          <w:p w14:paraId="3F79B348" w14:textId="77777777" w:rsidR="00967FFB" w:rsidRPr="00967FFB" w:rsidRDefault="00967FFB" w:rsidP="00F55137">
            <w:pPr>
              <w:spacing w:after="0"/>
              <w:contextualSpacing/>
              <w:jc w:val="center"/>
              <w:rPr>
                <w:szCs w:val="20"/>
              </w:rPr>
            </w:pPr>
            <w:r w:rsidRPr="00967FFB">
              <w:rPr>
                <w:sz w:val="21"/>
                <w:szCs w:val="21"/>
              </w:rPr>
              <w:t>†</w:t>
            </w:r>
          </w:p>
        </w:tc>
        <w:tc>
          <w:tcPr>
            <w:tcW w:w="1831" w:type="dxa"/>
          </w:tcPr>
          <w:p w14:paraId="3ADFACA5" w14:textId="77777777" w:rsidR="00967FFB" w:rsidRPr="00967FFB" w:rsidRDefault="00967FFB" w:rsidP="00F55137">
            <w:pPr>
              <w:spacing w:after="0"/>
              <w:contextualSpacing/>
              <w:jc w:val="center"/>
              <w:rPr>
                <w:sz w:val="21"/>
                <w:szCs w:val="21"/>
              </w:rPr>
            </w:pPr>
            <w:r w:rsidRPr="00967FFB">
              <w:rPr>
                <w:sz w:val="21"/>
                <w:szCs w:val="21"/>
              </w:rPr>
              <w:t>†</w:t>
            </w:r>
          </w:p>
        </w:tc>
      </w:tr>
    </w:tbl>
    <w:p w14:paraId="6CC75ECA" w14:textId="0D9B87AD" w:rsidR="005A28E8" w:rsidRPr="00967FFB" w:rsidRDefault="00967FFB" w:rsidP="00967FFB">
      <w:pPr>
        <w:spacing w:after="0"/>
        <w:rPr>
          <w:sz w:val="18"/>
          <w:szCs w:val="21"/>
        </w:rPr>
      </w:pPr>
      <w:r w:rsidRPr="00967FFB">
        <w:rPr>
          <w:sz w:val="18"/>
          <w:szCs w:val="21"/>
        </w:rPr>
        <w:sym w:font="Wingdings 2" w:char="F050"/>
      </w:r>
      <w:r w:rsidRPr="00967FFB">
        <w:rPr>
          <w:sz w:val="18"/>
          <w:szCs w:val="21"/>
        </w:rPr>
        <w:t xml:space="preserve"> Funded, </w:t>
      </w:r>
      <w:r w:rsidRPr="00967FFB">
        <w:rPr>
          <w:sz w:val="18"/>
          <w:szCs w:val="21"/>
        </w:rPr>
        <w:sym w:font="Wingdings" w:char="F0FB"/>
      </w:r>
      <w:r w:rsidRPr="00967FFB">
        <w:rPr>
          <w:sz w:val="18"/>
          <w:szCs w:val="21"/>
        </w:rPr>
        <w:t xml:space="preserve"> Not funded, † Funding decision pending</w:t>
      </w:r>
    </w:p>
    <w:p w14:paraId="7F84CB38" w14:textId="77777777" w:rsidR="00DE3BFA" w:rsidRPr="00967FFB" w:rsidRDefault="00DE3BFA">
      <w:pPr>
        <w:spacing w:after="0"/>
        <w:rPr>
          <w:sz w:val="18"/>
          <w:szCs w:val="21"/>
        </w:rPr>
      </w:pPr>
    </w:p>
    <w:sectPr w:rsidR="00DE3BFA" w:rsidRPr="00967FFB"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E5A6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01420">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01420">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1DCBB"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01420">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01420">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3"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5"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6"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9"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FF479D"/>
    <w:multiLevelType w:val="hybridMultilevel"/>
    <w:tmpl w:val="2550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2"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3"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4"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6" w15:restartNumberingAfterBreak="0">
    <w:nsid w:val="79A3369C"/>
    <w:multiLevelType w:val="hybridMultilevel"/>
    <w:tmpl w:val="D1FC2C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9"/>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2"/>
  </w:num>
  <w:num w:numId="15">
    <w:abstractNumId w:val="41"/>
  </w:num>
  <w:num w:numId="16">
    <w:abstractNumId w:val="26"/>
  </w:num>
  <w:num w:numId="17">
    <w:abstractNumId w:val="30"/>
  </w:num>
  <w:num w:numId="18">
    <w:abstractNumId w:val="47"/>
  </w:num>
  <w:num w:numId="19">
    <w:abstractNumId w:val="28"/>
  </w:num>
  <w:num w:numId="20">
    <w:abstractNumId w:val="11"/>
  </w:num>
  <w:num w:numId="21">
    <w:abstractNumId w:val="9"/>
  </w:num>
  <w:num w:numId="22">
    <w:abstractNumId w:val="27"/>
  </w:num>
  <w:num w:numId="23">
    <w:abstractNumId w:val="44"/>
  </w:num>
  <w:num w:numId="24">
    <w:abstractNumId w:val="15"/>
  </w:num>
  <w:num w:numId="25">
    <w:abstractNumId w:val="25"/>
  </w:num>
  <w:num w:numId="26">
    <w:abstractNumId w:val="35"/>
  </w:num>
  <w:num w:numId="27">
    <w:abstractNumId w:val="19"/>
  </w:num>
  <w:num w:numId="28">
    <w:abstractNumId w:val="24"/>
  </w:num>
  <w:num w:numId="29">
    <w:abstractNumId w:val="17"/>
  </w:num>
  <w:num w:numId="30">
    <w:abstractNumId w:val="42"/>
  </w:num>
  <w:num w:numId="31">
    <w:abstractNumId w:val="37"/>
  </w:num>
  <w:num w:numId="32">
    <w:abstractNumId w:val="45"/>
    <w:lvlOverride w:ilvl="0">
      <w:startOverride w:val="1"/>
    </w:lvlOverride>
  </w:num>
  <w:num w:numId="33">
    <w:abstractNumId w:val="34"/>
    <w:lvlOverride w:ilvl="0">
      <w:startOverride w:val="1"/>
    </w:lvlOverride>
  </w:num>
  <w:num w:numId="34">
    <w:abstractNumId w:val="36"/>
  </w:num>
  <w:num w:numId="35">
    <w:abstractNumId w:val="23"/>
  </w:num>
  <w:num w:numId="36">
    <w:abstractNumId w:val="22"/>
  </w:num>
  <w:num w:numId="37">
    <w:abstractNumId w:val="21"/>
  </w:num>
  <w:num w:numId="38">
    <w:abstractNumId w:val="12"/>
  </w:num>
  <w:num w:numId="39">
    <w:abstractNumId w:val="43"/>
  </w:num>
  <w:num w:numId="40">
    <w:abstractNumId w:val="16"/>
  </w:num>
  <w:num w:numId="41">
    <w:abstractNumId w:val="38"/>
  </w:num>
  <w:num w:numId="42">
    <w:abstractNumId w:val="18"/>
  </w:num>
  <w:num w:numId="43">
    <w:abstractNumId w:val="33"/>
  </w:num>
  <w:num w:numId="44">
    <w:abstractNumId w:val="40"/>
  </w:num>
  <w:num w:numId="45">
    <w:abstractNumId w:val="20"/>
  </w:num>
  <w:num w:numId="46">
    <w:abstractNumId w:val="13"/>
  </w:num>
  <w:num w:numId="47">
    <w:abstractNumId w:val="31"/>
  </w:num>
  <w:num w:numId="48">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3B48"/>
    <w:rsid w:val="000A445C"/>
    <w:rsid w:val="000C45AD"/>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3738"/>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67FFB"/>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420"/>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9681E"/>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3BFA"/>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49E8"/>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99"/>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99"/>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4310">
      <w:bodyDiv w:val="1"/>
      <w:marLeft w:val="0"/>
      <w:marRight w:val="0"/>
      <w:marTop w:val="0"/>
      <w:marBottom w:val="0"/>
      <w:divBdr>
        <w:top w:val="none" w:sz="0" w:space="0" w:color="auto"/>
        <w:left w:val="none" w:sz="0" w:space="0" w:color="auto"/>
        <w:bottom w:val="none" w:sz="0" w:space="0" w:color="auto"/>
        <w:right w:val="none" w:sz="0" w:space="0" w:color="auto"/>
      </w:divBdr>
      <w:divsChild>
        <w:div w:id="240332145">
          <w:marLeft w:val="0"/>
          <w:marRight w:val="0"/>
          <w:marTop w:val="0"/>
          <w:marBottom w:val="0"/>
          <w:divBdr>
            <w:top w:val="none" w:sz="0" w:space="0" w:color="auto"/>
            <w:left w:val="none" w:sz="0" w:space="0" w:color="auto"/>
            <w:bottom w:val="none" w:sz="0" w:space="0" w:color="auto"/>
            <w:right w:val="none" w:sz="0" w:space="0" w:color="auto"/>
          </w:divBdr>
          <w:divsChild>
            <w:div w:id="1137338859">
              <w:marLeft w:val="0"/>
              <w:marRight w:val="0"/>
              <w:marTop w:val="0"/>
              <w:marBottom w:val="0"/>
              <w:divBdr>
                <w:top w:val="none" w:sz="0" w:space="0" w:color="auto"/>
                <w:left w:val="none" w:sz="0" w:space="0" w:color="auto"/>
                <w:bottom w:val="none" w:sz="0" w:space="0" w:color="auto"/>
                <w:right w:val="none" w:sz="0" w:space="0" w:color="auto"/>
              </w:divBdr>
            </w:div>
          </w:divsChild>
        </w:div>
        <w:div w:id="1728651366">
          <w:marLeft w:val="0"/>
          <w:marRight w:val="0"/>
          <w:marTop w:val="0"/>
          <w:marBottom w:val="0"/>
          <w:divBdr>
            <w:top w:val="none" w:sz="0" w:space="0" w:color="auto"/>
            <w:left w:val="none" w:sz="0" w:space="0" w:color="auto"/>
            <w:bottom w:val="none" w:sz="0" w:space="0" w:color="auto"/>
            <w:right w:val="none" w:sz="0" w:space="0" w:color="auto"/>
          </w:divBdr>
          <w:divsChild>
            <w:div w:id="14545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135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867870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nccn.org/professionals/physician_gls/pdf/cll.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loodjournal.org/content/early/2018/03/14/blood-2017-09-806398?sso-checked=trueBlood%202018%20:blood-2017-09-806398;%20doi:%20https:/doi.org/10.1182/blood-2017-09-806398" TargetMode="External"/><Relationship Id="rId2" Type="http://schemas.openxmlformats.org/officeDocument/2006/relationships/numbering" Target="numbering.xml"/><Relationship Id="rId16" Type="http://schemas.openxmlformats.org/officeDocument/2006/relationships/hyperlink" Target="https://www.fda.gov/drugs/informationondrugs/approveddrugs/ucm61030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jm.org/doi/full/10.1056/NEJMoa1713976" TargetMode="Externa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www.esmo.org/Guidelines/Haematological-Malignancies/Chronic-Lymphocytic-Leukaemia"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0054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F3EAE-59D3-40F7-B0F4-4E2631B0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2018-10-24T19:29:00Z</dcterms:modified>
</cp:coreProperties>
</file>