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42B23E63" w:rsidR="00121EB1" w:rsidRPr="0033375D" w:rsidRDefault="00190997" w:rsidP="0033375D">
            <w:pPr>
              <w:pStyle w:val="DocumentTitle"/>
              <w:tabs>
                <w:tab w:val="left" w:pos="1074"/>
              </w:tabs>
              <w:spacing w:before="0" w:after="0"/>
              <w:rPr>
                <w:sz w:val="18"/>
                <w:szCs w:val="20"/>
              </w:rPr>
            </w:pPr>
            <w:r w:rsidRPr="0033375D">
              <w:rPr>
                <w:sz w:val="18"/>
                <w:szCs w:val="20"/>
              </w:rPr>
              <w:t>pCODR 101</w:t>
            </w:r>
            <w:r w:rsidR="0033375D" w:rsidRPr="0033375D">
              <w:rPr>
                <w:sz w:val="18"/>
                <w:szCs w:val="20"/>
              </w:rPr>
              <w:t>65</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48A70203" w:rsidR="00F369F8" w:rsidRPr="0033375D" w:rsidRDefault="0033375D" w:rsidP="00EB0EEF">
            <w:pPr>
              <w:pStyle w:val="DocumentTitle"/>
              <w:tabs>
                <w:tab w:val="left" w:pos="1074"/>
              </w:tabs>
              <w:spacing w:before="0" w:after="0"/>
              <w:rPr>
                <w:sz w:val="18"/>
                <w:szCs w:val="20"/>
              </w:rPr>
            </w:pPr>
            <w:r w:rsidRPr="0033375D">
              <w:rPr>
                <w:sz w:val="18"/>
                <w:szCs w:val="20"/>
              </w:rPr>
              <w:t>Ixazomib (Ninlaro)</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7126852F" w:rsidR="00190997" w:rsidRPr="0033375D" w:rsidRDefault="00190997" w:rsidP="00190997">
            <w:pPr>
              <w:rPr>
                <w:rFonts w:ascii="Arial" w:eastAsia="Calibri" w:hAnsi="Arial" w:cs="Arial"/>
                <w:b/>
                <w:sz w:val="18"/>
              </w:rPr>
            </w:pPr>
            <w:r w:rsidRPr="0033375D">
              <w:rPr>
                <w:rFonts w:ascii="Arial" w:eastAsia="Calibri" w:hAnsi="Arial" w:cs="Arial"/>
                <w:b/>
                <w:sz w:val="18"/>
              </w:rPr>
              <w:t>Multiple Myeloma</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6867DAC8" w:rsidR="00F369F8" w:rsidRPr="0033375D" w:rsidRDefault="0033375D" w:rsidP="0033375D">
            <w:pPr>
              <w:pStyle w:val="DocumentTitle"/>
              <w:tabs>
                <w:tab w:val="left" w:pos="1074"/>
              </w:tabs>
              <w:spacing w:before="0" w:after="0"/>
              <w:rPr>
                <w:sz w:val="18"/>
                <w:szCs w:val="20"/>
              </w:rPr>
            </w:pPr>
            <w:r w:rsidRPr="0033375D">
              <w:rPr>
                <w:sz w:val="18"/>
                <w:szCs w:val="20"/>
              </w:rPr>
              <w:t>In combination with lenalidomide and dexamethasone for the treatment of adult patients with multiple myeloma who have received at least one prior therapy.</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1EA3A037" w14:textId="2446BD42" w:rsidR="0033375D" w:rsidRPr="0033375D" w:rsidRDefault="0033375D" w:rsidP="0033375D">
            <w:pPr>
              <w:pStyle w:val="DocumentTitle"/>
              <w:numPr>
                <w:ilvl w:val="0"/>
                <w:numId w:val="52"/>
              </w:numPr>
              <w:tabs>
                <w:tab w:val="left" w:pos="1074"/>
              </w:tabs>
              <w:spacing w:before="0" w:after="0"/>
              <w:rPr>
                <w:sz w:val="18"/>
                <w:szCs w:val="18"/>
              </w:rPr>
            </w:pPr>
            <w:r w:rsidRPr="0033375D">
              <w:rPr>
                <w:sz w:val="18"/>
                <w:szCs w:val="18"/>
              </w:rPr>
              <w:t>TOURMALINE-MM1 (</w:t>
            </w:r>
            <w:hyperlink r:id="rId14" w:history="1">
              <w:r w:rsidRPr="0033375D">
                <w:rPr>
                  <w:rStyle w:val="Hyperlink"/>
                  <w:sz w:val="18"/>
                  <w:szCs w:val="18"/>
                </w:rPr>
                <w:t>NCT01564537</w:t>
              </w:r>
            </w:hyperlink>
            <w:r w:rsidRPr="0033375D">
              <w:rPr>
                <w:sz w:val="18"/>
                <w:szCs w:val="18"/>
              </w:rPr>
              <w:t xml:space="preserve">) </w:t>
            </w:r>
          </w:p>
          <w:p w14:paraId="52AF8FBD" w14:textId="74222415" w:rsidR="00CC380E" w:rsidRPr="0033375D" w:rsidRDefault="00C13CA8" w:rsidP="0033375D">
            <w:pPr>
              <w:pStyle w:val="DocumentTitle"/>
              <w:numPr>
                <w:ilvl w:val="0"/>
                <w:numId w:val="52"/>
              </w:numPr>
              <w:tabs>
                <w:tab w:val="left" w:pos="1074"/>
              </w:tabs>
              <w:spacing w:before="0" w:after="0"/>
              <w:rPr>
                <w:sz w:val="18"/>
                <w:szCs w:val="18"/>
              </w:rPr>
            </w:pPr>
            <w:hyperlink r:id="rId15" w:history="1">
              <w:r w:rsidR="0033375D" w:rsidRPr="0033375D">
                <w:rPr>
                  <w:rStyle w:val="Hyperlink"/>
                  <w:sz w:val="18"/>
                  <w:szCs w:val="18"/>
                </w:rPr>
                <w:t>Moreau et al, NEJM April 2016</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2C62AABC" w14:textId="08EDEB8A" w:rsidR="0033375D" w:rsidRPr="0033375D" w:rsidRDefault="0033375D" w:rsidP="00040CCD">
            <w:pPr>
              <w:pStyle w:val="DocumentTitle"/>
              <w:tabs>
                <w:tab w:val="left" w:pos="1074"/>
              </w:tabs>
              <w:spacing w:before="0" w:after="0"/>
              <w:rPr>
                <w:sz w:val="18"/>
                <w:szCs w:val="20"/>
              </w:rPr>
            </w:pPr>
            <w:r w:rsidRPr="0033375D">
              <w:rPr>
                <w:sz w:val="18"/>
                <w:szCs w:val="20"/>
              </w:rPr>
              <w:t>July 26, 2018</w:t>
            </w:r>
          </w:p>
          <w:p w14:paraId="547CC765" w14:textId="22BF4415" w:rsidR="0033375D" w:rsidRPr="0033375D" w:rsidRDefault="00C13CA8" w:rsidP="0033375D">
            <w:pPr>
              <w:pStyle w:val="DocumentTitle"/>
              <w:tabs>
                <w:tab w:val="left" w:pos="1074"/>
              </w:tabs>
              <w:spacing w:after="0"/>
              <w:rPr>
                <w:sz w:val="18"/>
                <w:szCs w:val="20"/>
              </w:rPr>
            </w:pPr>
            <w:hyperlink r:id="rId16" w:history="1">
              <w:r w:rsidR="0033375D" w:rsidRPr="0033375D">
                <w:rPr>
                  <w:rStyle w:val="Hyperlink"/>
                  <w:sz w:val="18"/>
                  <w:szCs w:val="20"/>
                </w:rPr>
                <w:t>in combination with lenalidomide and dexamethasone is indicated for the treatment of adult patients with multiple myeloma who have received at least one prior therapy.</w:t>
              </w:r>
            </w:hyperlink>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58B46416" w14:textId="5F9F9A43" w:rsidR="00040CCD" w:rsidRPr="0033375D" w:rsidRDefault="0033375D" w:rsidP="00040CCD">
            <w:pPr>
              <w:pStyle w:val="DocumentTitle"/>
              <w:tabs>
                <w:tab w:val="left" w:pos="1074"/>
              </w:tabs>
              <w:spacing w:before="0" w:after="0"/>
              <w:rPr>
                <w:sz w:val="18"/>
                <w:szCs w:val="20"/>
              </w:rPr>
            </w:pPr>
            <w:r w:rsidRPr="0033375D">
              <w:rPr>
                <w:sz w:val="18"/>
                <w:szCs w:val="20"/>
              </w:rPr>
              <w:t>November 2015</w:t>
            </w:r>
          </w:p>
          <w:p w14:paraId="2EE07483" w14:textId="1208332A" w:rsidR="00275E1C" w:rsidRPr="0033375D" w:rsidRDefault="00C13CA8" w:rsidP="0033375D">
            <w:pPr>
              <w:pStyle w:val="DocumentTitle"/>
              <w:tabs>
                <w:tab w:val="left" w:pos="1074"/>
              </w:tabs>
              <w:spacing w:after="0"/>
              <w:rPr>
                <w:sz w:val="18"/>
                <w:szCs w:val="20"/>
              </w:rPr>
            </w:pPr>
            <w:hyperlink r:id="rId17" w:history="1">
              <w:r w:rsidR="0033375D" w:rsidRPr="0033375D">
                <w:rPr>
                  <w:rStyle w:val="Hyperlink"/>
                  <w:sz w:val="18"/>
                  <w:szCs w:val="20"/>
                </w:rPr>
                <w:t>in combination with lenalidomide and dexamethasone for the treatment of patients with multiple myeloma who have received at least one prior therapy.</w:t>
              </w:r>
            </w:hyperlink>
            <w:r w:rsidR="0033375D">
              <w:rPr>
                <w:sz w:val="18"/>
                <w:szCs w:val="20"/>
              </w:rPr>
              <w:t xml:space="preserve"> </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B707749" w:rsidR="00F369F8" w:rsidRPr="00DB3BC3" w:rsidRDefault="00275E1C" w:rsidP="00EB0EEF">
            <w:pPr>
              <w:pStyle w:val="DocumentTitle"/>
              <w:tabs>
                <w:tab w:val="left" w:pos="1074"/>
              </w:tabs>
              <w:spacing w:before="0" w:after="0"/>
              <w:rPr>
                <w:color w:val="FFFFFF" w:themeColor="background1"/>
                <w:sz w:val="18"/>
                <w:szCs w:val="20"/>
              </w:rPr>
            </w:pPr>
            <w:r w:rsidRPr="00DB3BC3">
              <w:rPr>
                <w:color w:val="FFFFFF" w:themeColor="background1"/>
                <w:sz w:val="18"/>
                <w:szCs w:val="20"/>
              </w:rPr>
              <w:t>E</w:t>
            </w:r>
            <w:r w:rsidR="00647D2C" w:rsidRPr="00DB3BC3">
              <w:rPr>
                <w:color w:val="FFFFFF" w:themeColor="background1"/>
                <w:sz w:val="18"/>
                <w:szCs w:val="20"/>
              </w:rPr>
              <w:t xml:space="preserve">uropean </w:t>
            </w:r>
            <w:r w:rsidRPr="00DB3BC3">
              <w:rPr>
                <w:color w:val="FFFFFF" w:themeColor="background1"/>
                <w:sz w:val="18"/>
                <w:szCs w:val="20"/>
              </w:rPr>
              <w:t>M</w:t>
            </w:r>
            <w:r w:rsidR="00647D2C" w:rsidRPr="00DB3BC3">
              <w:rPr>
                <w:color w:val="FFFFFF" w:themeColor="background1"/>
                <w:sz w:val="18"/>
                <w:szCs w:val="20"/>
              </w:rPr>
              <w:t xml:space="preserve">edicines </w:t>
            </w:r>
            <w:r w:rsidRPr="00DB3BC3">
              <w:rPr>
                <w:color w:val="FFFFFF" w:themeColor="background1"/>
                <w:sz w:val="18"/>
                <w:szCs w:val="20"/>
              </w:rPr>
              <w:t>A</w:t>
            </w:r>
            <w:r w:rsidR="00647D2C" w:rsidRPr="00DB3BC3">
              <w:rPr>
                <w:color w:val="FFFFFF" w:themeColor="background1"/>
                <w:sz w:val="18"/>
                <w:szCs w:val="20"/>
              </w:rPr>
              <w:t>gency</w:t>
            </w:r>
            <w:r w:rsidRPr="00DB3BC3">
              <w:rPr>
                <w:color w:val="FFFFFF" w:themeColor="background1"/>
                <w:sz w:val="18"/>
                <w:szCs w:val="20"/>
              </w:rPr>
              <w:t xml:space="preserve"> </w:t>
            </w:r>
            <w:r w:rsidR="00716B05" w:rsidRPr="00DB3BC3">
              <w:rPr>
                <w:color w:val="FFFFFF" w:themeColor="background1"/>
                <w:sz w:val="18"/>
                <w:szCs w:val="20"/>
              </w:rPr>
              <w:t>S</w:t>
            </w:r>
            <w:r w:rsidRPr="00DB3BC3">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0086BD3" w14:textId="11104AC6" w:rsidR="00DB3BC3" w:rsidRPr="00DB3BC3" w:rsidRDefault="00DB3BC3" w:rsidP="00EB0EEF">
            <w:pPr>
              <w:pStyle w:val="DocumentTitle"/>
              <w:tabs>
                <w:tab w:val="left" w:pos="1074"/>
              </w:tabs>
              <w:spacing w:before="0" w:after="0"/>
              <w:rPr>
                <w:sz w:val="18"/>
                <w:szCs w:val="20"/>
              </w:rPr>
            </w:pPr>
            <w:r w:rsidRPr="00DB3BC3">
              <w:rPr>
                <w:sz w:val="18"/>
                <w:szCs w:val="20"/>
              </w:rPr>
              <w:t>December 7, 2016</w:t>
            </w:r>
          </w:p>
          <w:p w14:paraId="4382D7E4" w14:textId="6385B2C2" w:rsidR="00DB3BC3" w:rsidRPr="00DB3BC3" w:rsidRDefault="00C13CA8" w:rsidP="00DB3BC3">
            <w:pPr>
              <w:pStyle w:val="DocumentTitle"/>
              <w:tabs>
                <w:tab w:val="left" w:pos="1074"/>
              </w:tabs>
              <w:spacing w:after="0"/>
              <w:rPr>
                <w:sz w:val="18"/>
                <w:szCs w:val="20"/>
              </w:rPr>
            </w:pPr>
            <w:hyperlink r:id="rId18" w:history="1">
              <w:r w:rsidR="00DB3BC3" w:rsidRPr="00DB3BC3">
                <w:rPr>
                  <w:rStyle w:val="Hyperlink"/>
                  <w:sz w:val="18"/>
                  <w:szCs w:val="20"/>
                </w:rPr>
                <w:t>in combination with lenalidomide and dexamethasone is indicated for the treatment of adult patients with multiple myeloma who have received at least one prior therapy.</w:t>
              </w:r>
            </w:hyperlink>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69C830E3" w:rsidR="003100FC" w:rsidRPr="00DB3BC3" w:rsidRDefault="003100FC" w:rsidP="00EB0EEF">
            <w:pPr>
              <w:pStyle w:val="DocumentTitle"/>
              <w:tabs>
                <w:tab w:val="left" w:pos="1074"/>
              </w:tabs>
              <w:spacing w:before="0" w:after="0"/>
              <w:rPr>
                <w:color w:val="FFFFFF" w:themeColor="background1"/>
                <w:sz w:val="18"/>
                <w:szCs w:val="20"/>
              </w:rPr>
            </w:pPr>
            <w:r w:rsidRPr="00DB3BC3">
              <w:rPr>
                <w:color w:val="FFFFFF" w:themeColor="background1"/>
                <w:sz w:val="18"/>
                <w:szCs w:val="20"/>
              </w:rPr>
              <w:t>Practice Guidelines</w:t>
            </w:r>
            <w:r w:rsidR="00D47251" w:rsidRPr="00DB3BC3">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69664700" w14:textId="12CB01CA" w:rsidR="009A59AA" w:rsidRPr="00DB3BC3" w:rsidRDefault="00C13CA8" w:rsidP="00DB3BC3">
            <w:pPr>
              <w:pStyle w:val="DocumentTitle"/>
              <w:numPr>
                <w:ilvl w:val="0"/>
                <w:numId w:val="49"/>
              </w:numPr>
              <w:tabs>
                <w:tab w:val="left" w:pos="1074"/>
              </w:tabs>
              <w:spacing w:before="0" w:after="0"/>
              <w:rPr>
                <w:sz w:val="18"/>
                <w:szCs w:val="20"/>
              </w:rPr>
            </w:pPr>
            <w:hyperlink r:id="rId19" w:history="1">
              <w:r w:rsidR="009A59AA" w:rsidRPr="00DB3BC3">
                <w:rPr>
                  <w:rStyle w:val="Hyperlink"/>
                  <w:sz w:val="18"/>
                  <w:szCs w:val="20"/>
                </w:rPr>
                <w:t>NCCN myeloma guidelines.</w:t>
              </w:r>
            </w:hyperlink>
          </w:p>
          <w:p w14:paraId="17E99E46" w14:textId="3145A993" w:rsidR="00420EEA" w:rsidRPr="00DB3BC3" w:rsidRDefault="009A59AA" w:rsidP="009A59AA">
            <w:pPr>
              <w:pStyle w:val="DocumentTitle"/>
              <w:numPr>
                <w:ilvl w:val="0"/>
                <w:numId w:val="49"/>
              </w:numPr>
              <w:tabs>
                <w:tab w:val="left" w:pos="1074"/>
              </w:tabs>
              <w:spacing w:before="0" w:after="0"/>
              <w:rPr>
                <w:sz w:val="18"/>
                <w:szCs w:val="20"/>
              </w:rPr>
            </w:pPr>
            <w:r w:rsidRPr="00DB3BC3">
              <w:rPr>
                <w:sz w:val="18"/>
                <w:szCs w:val="20"/>
              </w:rPr>
              <w:t xml:space="preserve">Multiple Myeloma: ESMO Clinical Practice Guidelines. </w:t>
            </w:r>
            <w:hyperlink r:id="rId20" w:history="1">
              <w:r w:rsidRPr="00DB3BC3">
                <w:rPr>
                  <w:rStyle w:val="Hyperlink"/>
                  <w:sz w:val="18"/>
                  <w:szCs w:val="20"/>
                </w:rPr>
                <w:t>Ann Oncol (2017) 28 (suppl 4): iv52–iv61.</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325A1E56" w14:textId="591937F2" w:rsidR="00DB3BC3" w:rsidRDefault="00DB3BC3" w:rsidP="00DB3BC3">
            <w:pPr>
              <w:pStyle w:val="DocumentTitle"/>
              <w:tabs>
                <w:tab w:val="left" w:pos="1074"/>
              </w:tabs>
              <w:spacing w:before="0" w:after="0"/>
              <w:rPr>
                <w:sz w:val="18"/>
                <w:szCs w:val="20"/>
              </w:rPr>
            </w:pPr>
            <w:r w:rsidRPr="00DB3BC3">
              <w:rPr>
                <w:sz w:val="18"/>
                <w:szCs w:val="20"/>
              </w:rPr>
              <w:t xml:space="preserve">Currently funded treatment options for previously treated multiple myeloma include carfilzomib/lenalidomide/ dexamethasone, carfilzomib/dexamethasone, lenalidomide/dexamethasone, bortezomib, and pomalidomide/dexamethasone. PAG noted that daratumumab (with lenalidomide/dexamethasone or bortezomib/dexamethasone) was recently reviewed at pCODR, for the treatment of patients with multiple myeloma who have received at least one prior therapy. </w:t>
            </w:r>
          </w:p>
          <w:p w14:paraId="09ECBE82" w14:textId="7DC3C91E" w:rsidR="00420EEA" w:rsidRPr="0033375D" w:rsidRDefault="00DB3BC3" w:rsidP="00DB3BC3">
            <w:pPr>
              <w:pStyle w:val="DocumentTitle"/>
              <w:tabs>
                <w:tab w:val="left" w:pos="1074"/>
              </w:tabs>
              <w:spacing w:after="0"/>
              <w:rPr>
                <w:sz w:val="18"/>
                <w:szCs w:val="20"/>
                <w:highlight w:val="yellow"/>
              </w:rPr>
            </w:pPr>
            <w:r w:rsidRPr="0013642F">
              <w:rPr>
                <w:sz w:val="18"/>
                <w:szCs w:val="18"/>
              </w:rPr>
              <w:t xml:space="preserve">See Appendix B – Provincial Funding of Treatments for </w:t>
            </w:r>
            <w:r>
              <w:rPr>
                <w:sz w:val="18"/>
                <w:szCs w:val="18"/>
              </w:rPr>
              <w:t>Multiple Myeloma</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C13CA8"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7B7358B9" w14:textId="77777777" w:rsidR="0033375D" w:rsidRDefault="00AB7EB1" w:rsidP="0033375D">
      <w:pPr>
        <w:pStyle w:val="pCODR1Body"/>
        <w:spacing w:after="0" w:line="276" w:lineRule="auto"/>
        <w:ind w:left="360"/>
        <w:rPr>
          <w:rFonts w:ascii="Arial" w:hAnsi="Arial" w:cs="Arial"/>
          <w:sz w:val="18"/>
        </w:rPr>
      </w:pPr>
      <w:r w:rsidRPr="00AB7EB1">
        <w:rPr>
          <w:rFonts w:ascii="Arial" w:hAnsi="Arial" w:cs="Arial"/>
          <w:b/>
          <w:sz w:val="18"/>
        </w:rPr>
        <w:t>4.1.</w:t>
      </w:r>
      <w:r w:rsidRPr="00AB7EB1">
        <w:rPr>
          <w:rFonts w:ascii="Arial" w:hAnsi="Arial" w:cs="Arial"/>
          <w:sz w:val="18"/>
        </w:rPr>
        <w:t xml:space="preserve"> </w:t>
      </w:r>
      <w:r w:rsidR="0033375D" w:rsidRPr="0033375D">
        <w:rPr>
          <w:rFonts w:ascii="Arial" w:hAnsi="Arial" w:cs="Arial"/>
          <w:sz w:val="18"/>
        </w:rPr>
        <w:t>In regards to question 3.4 above, please consider the optimal sequencing of treatment for relapsed/refractory multiple myeloma for patients that are eligible as well as ineligible for autologous stem cell transplant, specifically: carfilzomib-based, lenalidomide-based, daratumumab-based, and bortezomib-based regimens.  In clinical practice, if ixazomib/lenalidomid</w:t>
      </w:r>
      <w:r w:rsidR="0033375D">
        <w:rPr>
          <w:rFonts w:ascii="Arial" w:hAnsi="Arial" w:cs="Arial"/>
          <w:sz w:val="18"/>
        </w:rPr>
        <w:t xml:space="preserve">e/dexamethasone was available, </w:t>
      </w:r>
    </w:p>
    <w:p w14:paraId="3EFBCD76" w14:textId="77777777" w:rsidR="0033375D" w:rsidRDefault="0033375D" w:rsidP="0033375D">
      <w:pPr>
        <w:pStyle w:val="pCODR1Body"/>
        <w:spacing w:after="0" w:line="276" w:lineRule="auto"/>
        <w:ind w:firstLine="360"/>
        <w:rPr>
          <w:rFonts w:ascii="Arial" w:hAnsi="Arial" w:cs="Arial"/>
          <w:b/>
          <w:sz w:val="18"/>
        </w:rPr>
      </w:pPr>
    </w:p>
    <w:p w14:paraId="0024FF0E" w14:textId="318570FD" w:rsidR="0033375D" w:rsidRDefault="0033375D" w:rsidP="0033375D">
      <w:pPr>
        <w:pStyle w:val="pCODR1Body"/>
        <w:spacing w:after="0" w:line="276" w:lineRule="auto"/>
        <w:ind w:firstLine="360"/>
        <w:rPr>
          <w:rFonts w:ascii="Arial" w:hAnsi="Arial" w:cs="Arial"/>
          <w:sz w:val="18"/>
        </w:rPr>
      </w:pPr>
      <w:r>
        <w:rPr>
          <w:rFonts w:ascii="Arial" w:hAnsi="Arial" w:cs="Arial"/>
          <w:b/>
          <w:sz w:val="18"/>
        </w:rPr>
        <w:t>4.</w:t>
      </w:r>
      <w:r w:rsidRPr="0033375D">
        <w:rPr>
          <w:rFonts w:ascii="Arial" w:hAnsi="Arial" w:cs="Arial"/>
          <w:b/>
          <w:sz w:val="18"/>
        </w:rPr>
        <w:t>1.1.</w:t>
      </w:r>
      <w:r>
        <w:rPr>
          <w:rFonts w:ascii="Arial" w:hAnsi="Arial" w:cs="Arial"/>
          <w:sz w:val="18"/>
        </w:rPr>
        <w:t xml:space="preserve"> </w:t>
      </w:r>
      <w:r w:rsidRPr="0033375D">
        <w:rPr>
          <w:rFonts w:ascii="Arial" w:hAnsi="Arial" w:cs="Arial"/>
          <w:sz w:val="18"/>
        </w:rPr>
        <w:t>What line of therapy would you prefer to use the ixazomib triplet therapy?</w:t>
      </w:r>
    </w:p>
    <w:p w14:paraId="7DC8B47E" w14:textId="1267BC59" w:rsidR="005A362F" w:rsidRPr="0033375D" w:rsidRDefault="0033375D" w:rsidP="0033375D">
      <w:pPr>
        <w:pStyle w:val="pCODR1Body"/>
        <w:spacing w:after="0" w:line="276" w:lineRule="auto"/>
        <w:ind w:left="360"/>
        <w:rPr>
          <w:rFonts w:ascii="Arial" w:hAnsi="Arial" w:cs="Arial"/>
          <w:sz w:val="18"/>
        </w:rPr>
      </w:pPr>
      <w:r>
        <w:rPr>
          <w:rFonts w:ascii="Arial" w:hAnsi="Arial" w:cs="Arial"/>
          <w:b/>
          <w:sz w:val="18"/>
        </w:rPr>
        <w:t xml:space="preserve">4.1.2. </w:t>
      </w:r>
      <w:r w:rsidR="00051A77" w:rsidRPr="00051A77">
        <w:rPr>
          <w:rFonts w:ascii="Arial" w:hAnsi="Arial" w:cs="Arial"/>
          <w:sz w:val="18"/>
        </w:rPr>
        <w:t>When would you prefer to use ixazomib over currently available novel triplet therapies?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14:paraId="6CA0B0C0" w14:textId="77777777" w:rsidTr="00D3252A">
        <w:trPr>
          <w:trHeight w:val="419"/>
        </w:trPr>
        <w:tc>
          <w:tcPr>
            <w:tcW w:w="10292" w:type="dxa"/>
          </w:tcPr>
          <w:p w14:paraId="17C145D5" w14:textId="77777777" w:rsidR="005A362F" w:rsidRDefault="005A362F" w:rsidP="005A362F">
            <w:pPr>
              <w:pStyle w:val="pCODR01AppendixHeader"/>
              <w:spacing w:before="0" w:after="0"/>
              <w:rPr>
                <w:rFonts w:ascii="Arial" w:hAnsi="Arial" w:cs="Arial"/>
                <w:spacing w:val="0"/>
              </w:rPr>
            </w:pPr>
          </w:p>
        </w:tc>
      </w:tr>
    </w:tbl>
    <w:p w14:paraId="1A1A6EC6" w14:textId="77777777" w:rsidR="005A362F" w:rsidRDefault="005A362F" w:rsidP="005A362F">
      <w:pPr>
        <w:pStyle w:val="pCODR1Body"/>
        <w:spacing w:after="0" w:line="276" w:lineRule="auto"/>
        <w:rPr>
          <w:rFonts w:ascii="Arial" w:hAnsi="Arial" w:cs="Arial"/>
          <w:sz w:val="18"/>
        </w:rPr>
      </w:pPr>
    </w:p>
    <w:p w14:paraId="25273641" w14:textId="19663F91" w:rsidR="005A362F" w:rsidRDefault="005A362F" w:rsidP="005A362F">
      <w:pPr>
        <w:pStyle w:val="pCODR1Body"/>
        <w:spacing w:after="0" w:line="276" w:lineRule="auto"/>
        <w:ind w:left="360"/>
        <w:rPr>
          <w:rFonts w:ascii="Arial" w:hAnsi="Arial" w:cs="Arial"/>
          <w:sz w:val="18"/>
        </w:rPr>
      </w:pPr>
      <w:r>
        <w:rPr>
          <w:rFonts w:ascii="Arial" w:hAnsi="Arial" w:cs="Arial"/>
          <w:b/>
          <w:sz w:val="18"/>
        </w:rPr>
        <w:t>4.</w:t>
      </w:r>
      <w:r w:rsidR="0033375D">
        <w:rPr>
          <w:rFonts w:ascii="Arial" w:hAnsi="Arial" w:cs="Arial"/>
          <w:b/>
          <w:sz w:val="18"/>
        </w:rPr>
        <w:t>2</w:t>
      </w:r>
      <w:r>
        <w:rPr>
          <w:rFonts w:ascii="Arial" w:hAnsi="Arial" w:cs="Arial"/>
          <w:b/>
          <w:sz w:val="18"/>
        </w:rPr>
        <w:t>.</w:t>
      </w:r>
      <w:r w:rsidRPr="005A362F">
        <w:rPr>
          <w:rFonts w:ascii="Arial" w:hAnsi="Arial" w:cs="Arial"/>
          <w:sz w:val="18"/>
        </w:rPr>
        <w:tab/>
      </w:r>
      <w:r w:rsidR="0033375D" w:rsidRPr="0033375D">
        <w:rPr>
          <w:rFonts w:ascii="Arial" w:hAnsi="Arial" w:cs="Arial"/>
          <w:sz w:val="18"/>
        </w:rPr>
        <w:t xml:space="preserve">In clinical practice, can proteasome inhibitors (i.e., ixazomib, carfilzomib, or </w:t>
      </w:r>
      <w:r w:rsidR="00C13CA8">
        <w:rPr>
          <w:rFonts w:ascii="Arial" w:hAnsi="Arial" w:cs="Arial"/>
          <w:sz w:val="18"/>
        </w:rPr>
        <w:t>bortezomib</w:t>
      </w:r>
      <w:bookmarkStart w:id="8" w:name="_GoBack"/>
      <w:bookmarkEnd w:id="8"/>
      <w:r w:rsidR="0033375D" w:rsidRPr="0033375D">
        <w:rPr>
          <w:rFonts w:ascii="Arial" w:hAnsi="Arial" w:cs="Arial"/>
          <w:sz w:val="18"/>
        </w:rPr>
        <w:t>) be used interchangeably for patients with relapsed/refractory multiple myeloma? If yes, what is the preferred proteasome inhibitor? Please comment on the preference considering patient preference, efficacy, safety, and administration.</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14:paraId="311D4616" w14:textId="77777777" w:rsidTr="00D3252A">
        <w:trPr>
          <w:trHeight w:val="419"/>
        </w:trPr>
        <w:tc>
          <w:tcPr>
            <w:tcW w:w="10292" w:type="dxa"/>
          </w:tcPr>
          <w:p w14:paraId="6C5918E7" w14:textId="77777777" w:rsidR="005A362F" w:rsidRDefault="005A362F" w:rsidP="005A362F">
            <w:pPr>
              <w:pStyle w:val="pCODR01AppendixHeader"/>
              <w:spacing w:before="0" w:after="0"/>
              <w:rPr>
                <w:rFonts w:ascii="Arial" w:hAnsi="Arial" w:cs="Arial"/>
                <w:spacing w:val="0"/>
              </w:rPr>
            </w:pPr>
          </w:p>
        </w:tc>
      </w:tr>
    </w:tbl>
    <w:p w14:paraId="340DF157" w14:textId="77777777" w:rsidR="005A362F" w:rsidRDefault="005A362F" w:rsidP="005A362F">
      <w:pPr>
        <w:pStyle w:val="pCODR1Body"/>
        <w:spacing w:after="0" w:line="276" w:lineRule="auto"/>
        <w:rPr>
          <w:rFonts w:ascii="Arial" w:hAnsi="Arial" w:cs="Arial"/>
          <w:sz w:val="18"/>
        </w:rPr>
      </w:pPr>
    </w:p>
    <w:p w14:paraId="063EFA5C" w14:textId="77777777" w:rsidR="003945FE" w:rsidRDefault="003945FE" w:rsidP="005A362F">
      <w:pPr>
        <w:pStyle w:val="pCODR1Body"/>
        <w:spacing w:after="0" w:line="276" w:lineRule="auto"/>
        <w:rPr>
          <w:rFonts w:ascii="Arial" w:hAnsi="Arial" w:cs="Arial"/>
          <w:sz w:val="18"/>
        </w:rPr>
      </w:pPr>
    </w:p>
    <w:p w14:paraId="179EB68B" w14:textId="6EB8815F" w:rsidR="00664CA0" w:rsidRPr="000028EA" w:rsidRDefault="00664CA0" w:rsidP="000028EA">
      <w:pPr>
        <w:pStyle w:val="BodyCopy"/>
        <w:spacing w:after="120" w:line="240" w:lineRule="auto"/>
        <w:rPr>
          <w:b/>
          <w:color w:val="0067B9"/>
          <w:sz w:val="24"/>
          <w:szCs w:val="28"/>
        </w:rPr>
      </w:pPr>
      <w:bookmarkStart w:id="9" w:name="_Toc439923603"/>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2C10C24B" w:rsidR="0033375D" w:rsidRDefault="0033375D">
      <w:pPr>
        <w:rPr>
          <w:rFonts w:ascii="Arial" w:hAnsi="Arial" w:cs="Arial"/>
          <w:sz w:val="18"/>
          <w:szCs w:val="18"/>
        </w:rPr>
      </w:pPr>
      <w:r>
        <w:rPr>
          <w:rFonts w:ascii="Arial" w:hAnsi="Arial" w:cs="Arial"/>
          <w:sz w:val="18"/>
          <w:szCs w:val="18"/>
        </w:rPr>
        <w:br w:type="page"/>
      </w:r>
    </w:p>
    <w:p w14:paraId="39AE8C6B" w14:textId="77777777" w:rsidR="0033375D" w:rsidRDefault="0033375D" w:rsidP="0033375D">
      <w:pPr>
        <w:pStyle w:val="pCODR01AppendixHeader"/>
      </w:pPr>
      <w:r w:rsidRPr="00FB5292">
        <w:lastRenderedPageBreak/>
        <w:t>Appendix</w:t>
      </w:r>
      <w:r w:rsidRPr="00F90A13">
        <w:t xml:space="preserve"> B</w:t>
      </w:r>
      <w:r w:rsidRPr="00FB5292">
        <w:t xml:space="preserve">: </w:t>
      </w:r>
      <w:r>
        <w:t xml:space="preserve">Provincial Funding of </w:t>
      </w:r>
      <w:r w:rsidRPr="00F90A13">
        <w:t xml:space="preserve">Treatments for </w:t>
      </w:r>
      <w:r>
        <w:t>Multiple Myeloma</w:t>
      </w:r>
    </w:p>
    <w:p w14:paraId="2C005F66" w14:textId="77777777" w:rsidR="00543F78" w:rsidRPr="000A37C1" w:rsidRDefault="00543F78" w:rsidP="00543F78">
      <w:pPr>
        <w:pStyle w:val="pCODR01AppendixHeader"/>
        <w:rPr>
          <w:b w:val="0"/>
          <w:sz w:val="22"/>
          <w:szCs w:val="22"/>
        </w:rPr>
      </w:pPr>
      <w:r w:rsidRPr="000A37C1">
        <w:rPr>
          <w:b w:val="0"/>
          <w:sz w:val="22"/>
          <w:szCs w:val="22"/>
        </w:rPr>
        <w:t xml:space="preserve">As of </w:t>
      </w:r>
      <w:r>
        <w:rPr>
          <w:b w:val="0"/>
          <w:sz w:val="22"/>
          <w:szCs w:val="22"/>
        </w:rPr>
        <w:t>October 5</w:t>
      </w:r>
      <w:r w:rsidRPr="000A37C1">
        <w:rPr>
          <w:b w:val="0"/>
          <w:sz w:val="22"/>
          <w:szCs w:val="22"/>
        </w:rPr>
        <w:t>, 2018</w:t>
      </w:r>
    </w:p>
    <w:p w14:paraId="2558A632" w14:textId="77777777" w:rsidR="00543F78" w:rsidRPr="000A37C1" w:rsidRDefault="00543F78" w:rsidP="00543F78">
      <w:pPr>
        <w:pStyle w:val="pCODR01AppendixHeader"/>
        <w:rPr>
          <w:b w:val="0"/>
          <w:sz w:val="22"/>
          <w:szCs w:val="22"/>
        </w:rPr>
      </w:pPr>
      <w:r w:rsidRPr="000A37C1">
        <w:rPr>
          <w:b w:val="0"/>
          <w:sz w:val="22"/>
          <w:szCs w:val="22"/>
        </w:rPr>
        <w:t>NOTE: All drugs subjected to eligibility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418"/>
        <w:gridCol w:w="2706"/>
        <w:gridCol w:w="2066"/>
        <w:gridCol w:w="2214"/>
        <w:gridCol w:w="1193"/>
        <w:gridCol w:w="2171"/>
      </w:tblGrid>
      <w:tr w:rsidR="00543F78" w:rsidRPr="000A37C1" w14:paraId="112627E3" w14:textId="77777777" w:rsidTr="0092442B">
        <w:trPr>
          <w:trHeight w:val="205"/>
        </w:trPr>
        <w:tc>
          <w:tcPr>
            <w:tcW w:w="0" w:type="auto"/>
            <w:shd w:val="clear" w:color="auto" w:fill="F2F2F2" w:themeFill="background1" w:themeFillShade="F2"/>
          </w:tcPr>
          <w:p w14:paraId="54EC9358" w14:textId="77777777" w:rsidR="00543F78" w:rsidRPr="000A37C1" w:rsidRDefault="00543F78" w:rsidP="0092442B">
            <w:pPr>
              <w:spacing w:after="0"/>
              <w:contextualSpacing/>
              <w:jc w:val="center"/>
              <w:rPr>
                <w:b/>
                <w:bCs/>
                <w:sz w:val="18"/>
                <w:szCs w:val="18"/>
              </w:rPr>
            </w:pPr>
          </w:p>
        </w:tc>
        <w:tc>
          <w:tcPr>
            <w:tcW w:w="0" w:type="auto"/>
            <w:shd w:val="clear" w:color="auto" w:fill="F2F2F2" w:themeFill="background1" w:themeFillShade="F2"/>
          </w:tcPr>
          <w:p w14:paraId="12DD863E" w14:textId="77777777" w:rsidR="00543F78" w:rsidRPr="000A37C1" w:rsidRDefault="00543F78" w:rsidP="0092442B">
            <w:pPr>
              <w:spacing w:after="0"/>
              <w:contextualSpacing/>
              <w:jc w:val="center"/>
              <w:rPr>
                <w:b/>
                <w:bCs/>
                <w:sz w:val="18"/>
                <w:szCs w:val="18"/>
              </w:rPr>
            </w:pPr>
            <w:r w:rsidRPr="000A37C1">
              <w:rPr>
                <w:b/>
                <w:bCs/>
                <w:sz w:val="18"/>
                <w:szCs w:val="18"/>
              </w:rPr>
              <w:t>Carfilzomib + Lenalidomide + Dexamethasone</w:t>
            </w:r>
          </w:p>
        </w:tc>
        <w:tc>
          <w:tcPr>
            <w:tcW w:w="0" w:type="auto"/>
            <w:shd w:val="clear" w:color="auto" w:fill="F2F2F2" w:themeFill="background1" w:themeFillShade="F2"/>
          </w:tcPr>
          <w:p w14:paraId="5773A1E2" w14:textId="77777777" w:rsidR="00543F78" w:rsidRPr="000A37C1" w:rsidRDefault="00543F78" w:rsidP="0092442B">
            <w:pPr>
              <w:spacing w:after="0"/>
              <w:contextualSpacing/>
              <w:jc w:val="center"/>
              <w:rPr>
                <w:b/>
                <w:bCs/>
                <w:sz w:val="18"/>
                <w:szCs w:val="18"/>
              </w:rPr>
            </w:pPr>
            <w:r w:rsidRPr="000A37C1">
              <w:rPr>
                <w:b/>
                <w:bCs/>
                <w:sz w:val="18"/>
                <w:szCs w:val="18"/>
              </w:rPr>
              <w:t>Carfilzomib + Dexamethasone</w:t>
            </w:r>
          </w:p>
        </w:tc>
        <w:tc>
          <w:tcPr>
            <w:tcW w:w="2214" w:type="dxa"/>
            <w:shd w:val="clear" w:color="auto" w:fill="F2F2F2" w:themeFill="background1" w:themeFillShade="F2"/>
          </w:tcPr>
          <w:p w14:paraId="0A163F22" w14:textId="77777777" w:rsidR="00543F78" w:rsidRPr="000A37C1" w:rsidRDefault="00543F78" w:rsidP="0092442B">
            <w:pPr>
              <w:spacing w:after="0"/>
              <w:contextualSpacing/>
              <w:jc w:val="center"/>
              <w:rPr>
                <w:b/>
                <w:bCs/>
                <w:sz w:val="18"/>
                <w:szCs w:val="18"/>
              </w:rPr>
            </w:pPr>
            <w:r w:rsidRPr="000A37C1">
              <w:rPr>
                <w:b/>
                <w:bCs/>
                <w:sz w:val="18"/>
                <w:szCs w:val="18"/>
              </w:rPr>
              <w:t>Lenalidomide + Dexamethasone</w:t>
            </w:r>
          </w:p>
        </w:tc>
        <w:tc>
          <w:tcPr>
            <w:tcW w:w="0" w:type="auto"/>
            <w:shd w:val="clear" w:color="auto" w:fill="F2F2F2" w:themeFill="background1" w:themeFillShade="F2"/>
          </w:tcPr>
          <w:p w14:paraId="1280C1A3" w14:textId="77777777" w:rsidR="00543F78" w:rsidRPr="000A37C1" w:rsidRDefault="00543F78" w:rsidP="0092442B">
            <w:pPr>
              <w:spacing w:after="0"/>
              <w:contextualSpacing/>
              <w:jc w:val="center"/>
              <w:rPr>
                <w:b/>
                <w:bCs/>
                <w:sz w:val="18"/>
                <w:szCs w:val="18"/>
                <w:vertAlign w:val="superscript"/>
              </w:rPr>
            </w:pPr>
            <w:r w:rsidRPr="000A37C1">
              <w:rPr>
                <w:b/>
                <w:bCs/>
                <w:sz w:val="18"/>
                <w:szCs w:val="18"/>
              </w:rPr>
              <w:t>Bortezomib</w:t>
            </w:r>
            <w:r w:rsidRPr="000A37C1">
              <w:rPr>
                <w:b/>
                <w:bCs/>
                <w:sz w:val="18"/>
                <w:szCs w:val="18"/>
                <w:vertAlign w:val="superscript"/>
              </w:rPr>
              <w:t>*</w:t>
            </w:r>
          </w:p>
        </w:tc>
        <w:tc>
          <w:tcPr>
            <w:tcW w:w="0" w:type="auto"/>
            <w:shd w:val="clear" w:color="auto" w:fill="F2F2F2" w:themeFill="background1" w:themeFillShade="F2"/>
          </w:tcPr>
          <w:p w14:paraId="70914C39" w14:textId="77777777" w:rsidR="00543F78" w:rsidRPr="000A37C1" w:rsidRDefault="00543F78" w:rsidP="0092442B">
            <w:pPr>
              <w:spacing w:after="0"/>
              <w:contextualSpacing/>
              <w:jc w:val="center"/>
              <w:rPr>
                <w:b/>
                <w:bCs/>
                <w:sz w:val="18"/>
                <w:szCs w:val="18"/>
              </w:rPr>
            </w:pPr>
            <w:r w:rsidRPr="000A37C1">
              <w:rPr>
                <w:b/>
                <w:bCs/>
                <w:sz w:val="18"/>
                <w:szCs w:val="18"/>
              </w:rPr>
              <w:t>Pomalidomide + Dexamethasone</w:t>
            </w:r>
          </w:p>
        </w:tc>
      </w:tr>
      <w:tr w:rsidR="00543F78" w:rsidRPr="000A37C1" w14:paraId="2AA39C21" w14:textId="77777777" w:rsidTr="0092442B">
        <w:trPr>
          <w:trHeight w:val="62"/>
        </w:trPr>
        <w:tc>
          <w:tcPr>
            <w:tcW w:w="0" w:type="auto"/>
            <w:shd w:val="clear" w:color="auto" w:fill="auto"/>
            <w:hideMark/>
          </w:tcPr>
          <w:p w14:paraId="7FD4E8A2" w14:textId="77777777" w:rsidR="00543F78" w:rsidRPr="000A37C1" w:rsidRDefault="00543F78" w:rsidP="0092442B">
            <w:pPr>
              <w:spacing w:after="0"/>
              <w:contextualSpacing/>
              <w:jc w:val="center"/>
              <w:rPr>
                <w:sz w:val="18"/>
                <w:szCs w:val="18"/>
              </w:rPr>
            </w:pPr>
            <w:r w:rsidRPr="000A37C1">
              <w:rPr>
                <w:sz w:val="18"/>
                <w:szCs w:val="18"/>
              </w:rPr>
              <w:t>BC</w:t>
            </w:r>
          </w:p>
        </w:tc>
        <w:tc>
          <w:tcPr>
            <w:tcW w:w="0" w:type="auto"/>
          </w:tcPr>
          <w:p w14:paraId="25ED7F65"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0" w:type="auto"/>
          </w:tcPr>
          <w:p w14:paraId="233D18F0"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2214" w:type="dxa"/>
          </w:tcPr>
          <w:p w14:paraId="79F28175"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675D5046"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01DD877E" w14:textId="77777777" w:rsidR="00543F78" w:rsidRPr="000A37C1" w:rsidRDefault="00543F78" w:rsidP="0092442B">
            <w:pPr>
              <w:spacing w:after="0"/>
              <w:jc w:val="center"/>
              <w:rPr>
                <w:sz w:val="18"/>
                <w:szCs w:val="18"/>
              </w:rPr>
            </w:pPr>
            <w:r w:rsidRPr="000A37C1">
              <w:rPr>
                <w:sz w:val="18"/>
                <w:szCs w:val="18"/>
              </w:rPr>
              <w:sym w:font="Wingdings 2" w:char="F050"/>
            </w:r>
          </w:p>
        </w:tc>
      </w:tr>
      <w:tr w:rsidR="00543F78" w:rsidRPr="000A37C1" w14:paraId="6A142829" w14:textId="77777777" w:rsidTr="0092442B">
        <w:trPr>
          <w:trHeight w:val="89"/>
        </w:trPr>
        <w:tc>
          <w:tcPr>
            <w:tcW w:w="0" w:type="auto"/>
            <w:shd w:val="clear" w:color="auto" w:fill="auto"/>
            <w:hideMark/>
          </w:tcPr>
          <w:p w14:paraId="61A97009" w14:textId="77777777" w:rsidR="00543F78" w:rsidRPr="000A37C1" w:rsidRDefault="00543F78" w:rsidP="0092442B">
            <w:pPr>
              <w:spacing w:after="0"/>
              <w:contextualSpacing/>
              <w:jc w:val="center"/>
              <w:rPr>
                <w:sz w:val="18"/>
                <w:szCs w:val="18"/>
              </w:rPr>
            </w:pPr>
            <w:r w:rsidRPr="000A37C1">
              <w:rPr>
                <w:sz w:val="18"/>
                <w:szCs w:val="18"/>
              </w:rPr>
              <w:t>AB</w:t>
            </w:r>
          </w:p>
        </w:tc>
        <w:tc>
          <w:tcPr>
            <w:tcW w:w="0" w:type="auto"/>
          </w:tcPr>
          <w:p w14:paraId="3C3BF624" w14:textId="77777777" w:rsidR="00543F78" w:rsidRPr="000A37C1" w:rsidRDefault="00543F78" w:rsidP="0092442B">
            <w:pPr>
              <w:spacing w:after="0"/>
              <w:contextualSpacing/>
              <w:jc w:val="center"/>
              <w:rPr>
                <w:sz w:val="18"/>
                <w:szCs w:val="18"/>
              </w:rPr>
            </w:pPr>
            <w:r w:rsidRPr="000A37C1">
              <w:rPr>
                <w:sz w:val="18"/>
                <w:szCs w:val="18"/>
              </w:rPr>
              <w:t>†</w:t>
            </w:r>
          </w:p>
        </w:tc>
        <w:tc>
          <w:tcPr>
            <w:tcW w:w="0" w:type="auto"/>
          </w:tcPr>
          <w:p w14:paraId="635E99FE" w14:textId="77777777" w:rsidR="00543F78" w:rsidRPr="000A37C1" w:rsidRDefault="00543F78" w:rsidP="0092442B">
            <w:pPr>
              <w:spacing w:after="0"/>
              <w:contextualSpacing/>
              <w:jc w:val="center"/>
              <w:rPr>
                <w:sz w:val="18"/>
                <w:szCs w:val="18"/>
              </w:rPr>
            </w:pPr>
            <w:r w:rsidRPr="000A37C1">
              <w:rPr>
                <w:sz w:val="18"/>
                <w:szCs w:val="18"/>
              </w:rPr>
              <w:t>†</w:t>
            </w:r>
          </w:p>
        </w:tc>
        <w:tc>
          <w:tcPr>
            <w:tcW w:w="2214" w:type="dxa"/>
          </w:tcPr>
          <w:p w14:paraId="3F469A16"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12921EA7"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0AAEAC49" w14:textId="77777777" w:rsidR="00543F78" w:rsidRPr="000A37C1" w:rsidRDefault="00543F78" w:rsidP="0092442B">
            <w:pPr>
              <w:spacing w:after="0"/>
              <w:jc w:val="center"/>
              <w:rPr>
                <w:sz w:val="18"/>
                <w:szCs w:val="18"/>
              </w:rPr>
            </w:pPr>
            <w:r w:rsidRPr="000A37C1">
              <w:rPr>
                <w:sz w:val="18"/>
                <w:szCs w:val="18"/>
              </w:rPr>
              <w:sym w:font="Wingdings 2" w:char="F050"/>
            </w:r>
          </w:p>
        </w:tc>
      </w:tr>
      <w:tr w:rsidR="00543F78" w:rsidRPr="000A37C1" w14:paraId="0FA31EF2" w14:textId="77777777" w:rsidTr="0092442B">
        <w:trPr>
          <w:trHeight w:val="17"/>
        </w:trPr>
        <w:tc>
          <w:tcPr>
            <w:tcW w:w="0" w:type="auto"/>
            <w:shd w:val="clear" w:color="auto" w:fill="auto"/>
            <w:hideMark/>
          </w:tcPr>
          <w:p w14:paraId="22559D37" w14:textId="77777777" w:rsidR="00543F78" w:rsidRPr="000A37C1" w:rsidRDefault="00543F78" w:rsidP="0092442B">
            <w:pPr>
              <w:spacing w:after="0"/>
              <w:contextualSpacing/>
              <w:jc w:val="center"/>
              <w:rPr>
                <w:sz w:val="18"/>
                <w:szCs w:val="18"/>
              </w:rPr>
            </w:pPr>
            <w:r w:rsidRPr="000A37C1">
              <w:rPr>
                <w:sz w:val="18"/>
                <w:szCs w:val="18"/>
              </w:rPr>
              <w:t>SK</w:t>
            </w:r>
          </w:p>
        </w:tc>
        <w:tc>
          <w:tcPr>
            <w:tcW w:w="0" w:type="auto"/>
          </w:tcPr>
          <w:p w14:paraId="497D052C"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0" w:type="auto"/>
          </w:tcPr>
          <w:p w14:paraId="5C3C39AE"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2214" w:type="dxa"/>
          </w:tcPr>
          <w:p w14:paraId="0D7DBA1B"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2B5954E2"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1D1A28FC" w14:textId="77777777" w:rsidR="00543F78" w:rsidRPr="000A37C1" w:rsidRDefault="00543F78" w:rsidP="0092442B">
            <w:pPr>
              <w:spacing w:after="0"/>
              <w:jc w:val="center"/>
              <w:rPr>
                <w:sz w:val="18"/>
                <w:szCs w:val="18"/>
              </w:rPr>
            </w:pPr>
            <w:r w:rsidRPr="000A37C1">
              <w:rPr>
                <w:sz w:val="18"/>
                <w:szCs w:val="18"/>
              </w:rPr>
              <w:sym w:font="Wingdings 2" w:char="F050"/>
            </w:r>
          </w:p>
        </w:tc>
      </w:tr>
      <w:tr w:rsidR="00543F78" w:rsidRPr="000A37C1" w14:paraId="33483F2A" w14:textId="77777777" w:rsidTr="0092442B">
        <w:trPr>
          <w:trHeight w:val="17"/>
        </w:trPr>
        <w:tc>
          <w:tcPr>
            <w:tcW w:w="0" w:type="auto"/>
            <w:shd w:val="clear" w:color="auto" w:fill="auto"/>
            <w:hideMark/>
          </w:tcPr>
          <w:p w14:paraId="7FE6E3C1" w14:textId="77777777" w:rsidR="00543F78" w:rsidRPr="000A37C1" w:rsidRDefault="00543F78" w:rsidP="0092442B">
            <w:pPr>
              <w:spacing w:after="0"/>
              <w:contextualSpacing/>
              <w:jc w:val="center"/>
              <w:rPr>
                <w:sz w:val="18"/>
                <w:szCs w:val="18"/>
              </w:rPr>
            </w:pPr>
            <w:r w:rsidRPr="000A37C1">
              <w:rPr>
                <w:sz w:val="18"/>
                <w:szCs w:val="18"/>
              </w:rPr>
              <w:t>MB</w:t>
            </w:r>
          </w:p>
        </w:tc>
        <w:tc>
          <w:tcPr>
            <w:tcW w:w="0" w:type="auto"/>
          </w:tcPr>
          <w:p w14:paraId="57BC6C02"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0" w:type="auto"/>
          </w:tcPr>
          <w:p w14:paraId="72885D2B"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2214" w:type="dxa"/>
          </w:tcPr>
          <w:p w14:paraId="746B2FA8"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4F1035BE"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3BEAA1A6" w14:textId="77777777" w:rsidR="00543F78" w:rsidRPr="000A37C1" w:rsidRDefault="00543F78" w:rsidP="0092442B">
            <w:pPr>
              <w:spacing w:after="0"/>
              <w:jc w:val="center"/>
              <w:rPr>
                <w:sz w:val="18"/>
                <w:szCs w:val="18"/>
              </w:rPr>
            </w:pPr>
            <w:r w:rsidRPr="000A37C1">
              <w:rPr>
                <w:sz w:val="18"/>
                <w:szCs w:val="18"/>
              </w:rPr>
              <w:sym w:font="Wingdings 2" w:char="F050"/>
            </w:r>
          </w:p>
        </w:tc>
      </w:tr>
      <w:tr w:rsidR="00543F78" w:rsidRPr="000A37C1" w14:paraId="36EE6537" w14:textId="77777777" w:rsidTr="0092442B">
        <w:trPr>
          <w:trHeight w:val="17"/>
        </w:trPr>
        <w:tc>
          <w:tcPr>
            <w:tcW w:w="0" w:type="auto"/>
            <w:shd w:val="clear" w:color="auto" w:fill="auto"/>
            <w:hideMark/>
          </w:tcPr>
          <w:p w14:paraId="75ABEA46" w14:textId="77777777" w:rsidR="00543F78" w:rsidRPr="000A37C1" w:rsidRDefault="00543F78" w:rsidP="0092442B">
            <w:pPr>
              <w:spacing w:after="0"/>
              <w:contextualSpacing/>
              <w:jc w:val="center"/>
              <w:rPr>
                <w:sz w:val="18"/>
                <w:szCs w:val="18"/>
              </w:rPr>
            </w:pPr>
            <w:r w:rsidRPr="000A37C1">
              <w:rPr>
                <w:sz w:val="18"/>
                <w:szCs w:val="18"/>
              </w:rPr>
              <w:t>ON</w:t>
            </w:r>
          </w:p>
        </w:tc>
        <w:tc>
          <w:tcPr>
            <w:tcW w:w="0" w:type="auto"/>
          </w:tcPr>
          <w:p w14:paraId="5F476C39"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0" w:type="auto"/>
          </w:tcPr>
          <w:p w14:paraId="520FBD05"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2214" w:type="dxa"/>
          </w:tcPr>
          <w:p w14:paraId="40D33B63"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029A2540"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6E93CB62" w14:textId="77777777" w:rsidR="00543F78" w:rsidRPr="000A37C1" w:rsidRDefault="00543F78" w:rsidP="0092442B">
            <w:pPr>
              <w:spacing w:after="0"/>
              <w:jc w:val="center"/>
              <w:rPr>
                <w:sz w:val="18"/>
                <w:szCs w:val="18"/>
              </w:rPr>
            </w:pPr>
            <w:r w:rsidRPr="000A37C1">
              <w:rPr>
                <w:sz w:val="18"/>
                <w:szCs w:val="18"/>
              </w:rPr>
              <w:sym w:font="Wingdings 2" w:char="F050"/>
            </w:r>
          </w:p>
        </w:tc>
      </w:tr>
      <w:tr w:rsidR="00543F78" w:rsidRPr="000A37C1" w14:paraId="66BCCF90" w14:textId="77777777" w:rsidTr="0092442B">
        <w:trPr>
          <w:trHeight w:val="96"/>
        </w:trPr>
        <w:tc>
          <w:tcPr>
            <w:tcW w:w="0" w:type="auto"/>
            <w:shd w:val="clear" w:color="auto" w:fill="auto"/>
            <w:hideMark/>
          </w:tcPr>
          <w:p w14:paraId="72ADCE10" w14:textId="77777777" w:rsidR="00543F78" w:rsidRPr="000A37C1" w:rsidRDefault="00543F78" w:rsidP="0092442B">
            <w:pPr>
              <w:spacing w:after="0"/>
              <w:contextualSpacing/>
              <w:jc w:val="center"/>
              <w:rPr>
                <w:sz w:val="18"/>
                <w:szCs w:val="18"/>
              </w:rPr>
            </w:pPr>
            <w:r w:rsidRPr="000A37C1">
              <w:rPr>
                <w:sz w:val="18"/>
                <w:szCs w:val="18"/>
              </w:rPr>
              <w:t>NB</w:t>
            </w:r>
          </w:p>
        </w:tc>
        <w:tc>
          <w:tcPr>
            <w:tcW w:w="0" w:type="auto"/>
          </w:tcPr>
          <w:p w14:paraId="10C728E9"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0" w:type="auto"/>
          </w:tcPr>
          <w:p w14:paraId="4379381A"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2214" w:type="dxa"/>
          </w:tcPr>
          <w:p w14:paraId="1C6A25E6"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2F3CA3F9"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446B62DF" w14:textId="77777777" w:rsidR="00543F78" w:rsidRPr="000A37C1" w:rsidRDefault="00543F78" w:rsidP="0092442B">
            <w:pPr>
              <w:spacing w:after="0"/>
              <w:jc w:val="center"/>
              <w:rPr>
                <w:sz w:val="18"/>
                <w:szCs w:val="18"/>
              </w:rPr>
            </w:pPr>
            <w:r w:rsidRPr="000A37C1">
              <w:rPr>
                <w:sz w:val="18"/>
                <w:szCs w:val="18"/>
              </w:rPr>
              <w:sym w:font="Wingdings 2" w:char="F050"/>
            </w:r>
          </w:p>
        </w:tc>
      </w:tr>
      <w:tr w:rsidR="00543F78" w:rsidRPr="000A37C1" w14:paraId="1D59A638" w14:textId="77777777" w:rsidTr="0092442B">
        <w:trPr>
          <w:trHeight w:val="17"/>
        </w:trPr>
        <w:tc>
          <w:tcPr>
            <w:tcW w:w="0" w:type="auto"/>
            <w:shd w:val="clear" w:color="auto" w:fill="auto"/>
            <w:hideMark/>
          </w:tcPr>
          <w:p w14:paraId="7473BD3F" w14:textId="77777777" w:rsidR="00543F78" w:rsidRPr="000A37C1" w:rsidRDefault="00543F78" w:rsidP="0092442B">
            <w:pPr>
              <w:spacing w:after="0"/>
              <w:contextualSpacing/>
              <w:jc w:val="center"/>
              <w:rPr>
                <w:sz w:val="18"/>
                <w:szCs w:val="18"/>
              </w:rPr>
            </w:pPr>
            <w:r w:rsidRPr="000A37C1">
              <w:rPr>
                <w:sz w:val="18"/>
                <w:szCs w:val="18"/>
              </w:rPr>
              <w:t>NS</w:t>
            </w:r>
          </w:p>
        </w:tc>
        <w:tc>
          <w:tcPr>
            <w:tcW w:w="0" w:type="auto"/>
          </w:tcPr>
          <w:p w14:paraId="17301658" w14:textId="77777777" w:rsidR="00543F78" w:rsidRPr="000A37C1" w:rsidRDefault="00543F78" w:rsidP="0092442B">
            <w:pPr>
              <w:spacing w:after="0"/>
              <w:contextualSpacing/>
              <w:jc w:val="center"/>
              <w:rPr>
                <w:sz w:val="18"/>
                <w:szCs w:val="18"/>
              </w:rPr>
            </w:pPr>
            <w:r w:rsidRPr="000A37C1">
              <w:rPr>
                <w:sz w:val="18"/>
                <w:szCs w:val="18"/>
              </w:rPr>
              <w:t>†</w:t>
            </w:r>
          </w:p>
        </w:tc>
        <w:tc>
          <w:tcPr>
            <w:tcW w:w="0" w:type="auto"/>
          </w:tcPr>
          <w:p w14:paraId="2AD5FC92" w14:textId="77777777" w:rsidR="00543F78" w:rsidRPr="000A37C1" w:rsidRDefault="00543F78" w:rsidP="0092442B">
            <w:pPr>
              <w:spacing w:after="0"/>
              <w:contextualSpacing/>
              <w:jc w:val="center"/>
              <w:rPr>
                <w:sz w:val="18"/>
                <w:szCs w:val="18"/>
              </w:rPr>
            </w:pPr>
            <w:r w:rsidRPr="000A37C1">
              <w:rPr>
                <w:sz w:val="18"/>
                <w:szCs w:val="18"/>
              </w:rPr>
              <w:t>†</w:t>
            </w:r>
          </w:p>
        </w:tc>
        <w:tc>
          <w:tcPr>
            <w:tcW w:w="2214" w:type="dxa"/>
          </w:tcPr>
          <w:p w14:paraId="6E473544"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3CD375CD"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175B1C4E" w14:textId="77777777" w:rsidR="00543F78" w:rsidRPr="000A37C1" w:rsidRDefault="00543F78" w:rsidP="0092442B">
            <w:pPr>
              <w:spacing w:after="0"/>
              <w:jc w:val="center"/>
              <w:rPr>
                <w:sz w:val="18"/>
                <w:szCs w:val="18"/>
              </w:rPr>
            </w:pPr>
            <w:r w:rsidRPr="000A37C1">
              <w:rPr>
                <w:sz w:val="18"/>
                <w:szCs w:val="18"/>
              </w:rPr>
              <w:sym w:font="Wingdings 2" w:char="F050"/>
            </w:r>
          </w:p>
        </w:tc>
      </w:tr>
      <w:tr w:rsidR="00543F78" w:rsidRPr="000A37C1" w14:paraId="48F9217A" w14:textId="77777777" w:rsidTr="0092442B">
        <w:trPr>
          <w:trHeight w:val="151"/>
        </w:trPr>
        <w:tc>
          <w:tcPr>
            <w:tcW w:w="0" w:type="auto"/>
            <w:shd w:val="clear" w:color="auto" w:fill="auto"/>
            <w:hideMark/>
          </w:tcPr>
          <w:p w14:paraId="134A6992" w14:textId="77777777" w:rsidR="00543F78" w:rsidRPr="000A37C1" w:rsidRDefault="00543F78" w:rsidP="0092442B">
            <w:pPr>
              <w:spacing w:after="0"/>
              <w:contextualSpacing/>
              <w:jc w:val="center"/>
              <w:rPr>
                <w:sz w:val="18"/>
                <w:szCs w:val="18"/>
              </w:rPr>
            </w:pPr>
            <w:r w:rsidRPr="000A37C1">
              <w:rPr>
                <w:sz w:val="18"/>
                <w:szCs w:val="18"/>
              </w:rPr>
              <w:t>NL</w:t>
            </w:r>
          </w:p>
        </w:tc>
        <w:tc>
          <w:tcPr>
            <w:tcW w:w="0" w:type="auto"/>
          </w:tcPr>
          <w:p w14:paraId="28C0B47F"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0" w:type="auto"/>
          </w:tcPr>
          <w:p w14:paraId="03D9374B" w14:textId="77777777" w:rsidR="00543F78" w:rsidRPr="000A37C1" w:rsidRDefault="00543F78" w:rsidP="0092442B">
            <w:pPr>
              <w:spacing w:after="0"/>
              <w:contextualSpacing/>
              <w:jc w:val="center"/>
              <w:rPr>
                <w:sz w:val="18"/>
                <w:szCs w:val="18"/>
              </w:rPr>
            </w:pPr>
            <w:r w:rsidRPr="000A37C1">
              <w:rPr>
                <w:sz w:val="18"/>
                <w:szCs w:val="18"/>
              </w:rPr>
              <w:sym w:font="Wingdings 2" w:char="F050"/>
            </w:r>
          </w:p>
        </w:tc>
        <w:tc>
          <w:tcPr>
            <w:tcW w:w="2214" w:type="dxa"/>
          </w:tcPr>
          <w:p w14:paraId="3F2AF2D7"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6DB2FD97"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06B781BF" w14:textId="77777777" w:rsidR="00543F78" w:rsidRPr="000A37C1" w:rsidRDefault="00543F78" w:rsidP="0092442B">
            <w:pPr>
              <w:spacing w:after="0"/>
              <w:jc w:val="center"/>
              <w:rPr>
                <w:sz w:val="18"/>
                <w:szCs w:val="18"/>
              </w:rPr>
            </w:pPr>
            <w:r w:rsidRPr="000A37C1">
              <w:rPr>
                <w:sz w:val="18"/>
                <w:szCs w:val="18"/>
              </w:rPr>
              <w:sym w:font="Wingdings 2" w:char="F050"/>
            </w:r>
          </w:p>
        </w:tc>
      </w:tr>
      <w:tr w:rsidR="00543F78" w:rsidRPr="000A37C1" w14:paraId="43E49C4D" w14:textId="77777777" w:rsidTr="0092442B">
        <w:trPr>
          <w:trHeight w:val="17"/>
        </w:trPr>
        <w:tc>
          <w:tcPr>
            <w:tcW w:w="0" w:type="auto"/>
            <w:shd w:val="clear" w:color="auto" w:fill="auto"/>
            <w:hideMark/>
          </w:tcPr>
          <w:p w14:paraId="18861BCA" w14:textId="77777777" w:rsidR="00543F78" w:rsidRPr="000A37C1" w:rsidRDefault="00543F78" w:rsidP="0092442B">
            <w:pPr>
              <w:spacing w:after="0"/>
              <w:contextualSpacing/>
              <w:jc w:val="center"/>
              <w:rPr>
                <w:sz w:val="18"/>
                <w:szCs w:val="18"/>
              </w:rPr>
            </w:pPr>
            <w:r w:rsidRPr="000A37C1">
              <w:rPr>
                <w:sz w:val="18"/>
                <w:szCs w:val="18"/>
              </w:rPr>
              <w:t>PEI</w:t>
            </w:r>
          </w:p>
        </w:tc>
        <w:tc>
          <w:tcPr>
            <w:tcW w:w="0" w:type="auto"/>
          </w:tcPr>
          <w:p w14:paraId="6BE4DF62" w14:textId="77777777" w:rsidR="00543F78" w:rsidRPr="000A37C1" w:rsidRDefault="00543F78" w:rsidP="0092442B">
            <w:pPr>
              <w:spacing w:after="0"/>
              <w:contextualSpacing/>
              <w:jc w:val="center"/>
              <w:rPr>
                <w:sz w:val="18"/>
                <w:szCs w:val="18"/>
              </w:rPr>
            </w:pPr>
            <w:r w:rsidRPr="000A37C1">
              <w:rPr>
                <w:sz w:val="18"/>
                <w:szCs w:val="18"/>
              </w:rPr>
              <w:t>†</w:t>
            </w:r>
          </w:p>
        </w:tc>
        <w:tc>
          <w:tcPr>
            <w:tcW w:w="0" w:type="auto"/>
          </w:tcPr>
          <w:p w14:paraId="465AABFC" w14:textId="77777777" w:rsidR="00543F78" w:rsidRPr="000A37C1" w:rsidRDefault="00543F78" w:rsidP="0092442B">
            <w:pPr>
              <w:spacing w:after="0"/>
              <w:contextualSpacing/>
              <w:jc w:val="center"/>
              <w:rPr>
                <w:sz w:val="18"/>
                <w:szCs w:val="18"/>
              </w:rPr>
            </w:pPr>
            <w:r w:rsidRPr="000A37C1">
              <w:rPr>
                <w:sz w:val="18"/>
                <w:szCs w:val="18"/>
              </w:rPr>
              <w:t>†</w:t>
            </w:r>
          </w:p>
        </w:tc>
        <w:tc>
          <w:tcPr>
            <w:tcW w:w="2214" w:type="dxa"/>
          </w:tcPr>
          <w:p w14:paraId="1F84C647" w14:textId="77777777" w:rsidR="00543F78" w:rsidRPr="000A37C1" w:rsidRDefault="00543F78" w:rsidP="0092442B">
            <w:pPr>
              <w:spacing w:after="0"/>
              <w:jc w:val="center"/>
              <w:rPr>
                <w:sz w:val="18"/>
                <w:szCs w:val="18"/>
              </w:rPr>
            </w:pPr>
            <w:r w:rsidRPr="000A37C1">
              <w:rPr>
                <w:sz w:val="18"/>
                <w:szCs w:val="18"/>
              </w:rPr>
              <w:t>†</w:t>
            </w:r>
          </w:p>
        </w:tc>
        <w:tc>
          <w:tcPr>
            <w:tcW w:w="0" w:type="auto"/>
          </w:tcPr>
          <w:p w14:paraId="43B76291" w14:textId="77777777" w:rsidR="00543F78" w:rsidRPr="000A37C1" w:rsidRDefault="00543F78" w:rsidP="0092442B">
            <w:pPr>
              <w:spacing w:after="0"/>
              <w:jc w:val="center"/>
              <w:rPr>
                <w:sz w:val="18"/>
                <w:szCs w:val="18"/>
              </w:rPr>
            </w:pPr>
            <w:r w:rsidRPr="000A37C1">
              <w:rPr>
                <w:sz w:val="18"/>
                <w:szCs w:val="18"/>
              </w:rPr>
              <w:sym w:font="Wingdings 2" w:char="F050"/>
            </w:r>
          </w:p>
        </w:tc>
        <w:tc>
          <w:tcPr>
            <w:tcW w:w="0" w:type="auto"/>
          </w:tcPr>
          <w:p w14:paraId="6D4D272B" w14:textId="77777777" w:rsidR="00543F78" w:rsidRPr="000A37C1" w:rsidRDefault="00543F78" w:rsidP="0092442B">
            <w:pPr>
              <w:spacing w:after="0"/>
              <w:jc w:val="center"/>
              <w:rPr>
                <w:sz w:val="18"/>
                <w:szCs w:val="18"/>
              </w:rPr>
            </w:pPr>
            <w:r w:rsidRPr="000A37C1">
              <w:rPr>
                <w:sz w:val="18"/>
                <w:szCs w:val="18"/>
              </w:rPr>
              <w:sym w:font="Wingdings 2" w:char="F050"/>
            </w:r>
          </w:p>
        </w:tc>
      </w:tr>
    </w:tbl>
    <w:p w14:paraId="344CFD3B" w14:textId="77777777" w:rsidR="00543F78" w:rsidRPr="000A37C1" w:rsidRDefault="00543F78" w:rsidP="00543F78">
      <w:pPr>
        <w:rPr>
          <w:sz w:val="16"/>
        </w:rPr>
      </w:pPr>
      <w:r w:rsidRPr="000A37C1">
        <w:rPr>
          <w:sz w:val="16"/>
        </w:rPr>
        <w:t>*Pre-ASCT</w:t>
      </w:r>
    </w:p>
    <w:p w14:paraId="089B9050" w14:textId="77777777" w:rsidR="00543F78" w:rsidRDefault="00543F78" w:rsidP="00543F78">
      <w:pPr>
        <w:rPr>
          <w:sz w:val="18"/>
          <w:szCs w:val="18"/>
        </w:rPr>
      </w:pPr>
      <w:r w:rsidRPr="000A37C1">
        <w:t xml:space="preserve">Legend: </w:t>
      </w:r>
      <w:r w:rsidRPr="000A37C1">
        <w:rPr>
          <w:sz w:val="18"/>
          <w:szCs w:val="18"/>
        </w:rPr>
        <w:sym w:font="Wingdings 2" w:char="F050"/>
      </w:r>
      <w:r w:rsidRPr="000A37C1">
        <w:rPr>
          <w:sz w:val="18"/>
          <w:szCs w:val="18"/>
        </w:rPr>
        <w:t xml:space="preserve"> Funded, </w:t>
      </w:r>
      <w:r w:rsidRPr="000A37C1">
        <w:rPr>
          <w:sz w:val="18"/>
          <w:szCs w:val="18"/>
        </w:rPr>
        <w:sym w:font="Wingdings" w:char="F0FB"/>
      </w:r>
      <w:r w:rsidRPr="000A37C1">
        <w:rPr>
          <w:sz w:val="18"/>
          <w:szCs w:val="18"/>
        </w:rPr>
        <w:t xml:space="preserve"> Not funded, † Funding decision pending</w:t>
      </w:r>
    </w:p>
    <w:p w14:paraId="19FA7D88" w14:textId="77777777"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5242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13CA8">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13CA8">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C10929"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13CA8">
                            <w:rPr>
                              <w:rFonts w:ascii="Arial" w:hAnsi="Arial" w:cs="Arial"/>
                              <w:noProof/>
                              <w:sz w:val="14"/>
                              <w:szCs w:val="14"/>
                            </w:rPr>
                            <w:t>1</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C13CA8">
                      <w:rPr>
                        <w:rFonts w:ascii="Arial" w:hAnsi="Arial" w:cs="Arial"/>
                        <w:noProof/>
                        <w:sz w:val="14"/>
                        <w:szCs w:val="14"/>
                      </w:rPr>
                      <w:t>1</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0FE044B6"/>
    <w:multiLevelType w:val="hybridMultilevel"/>
    <w:tmpl w:val="6F36F2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0" w15:restartNumberingAfterBreak="0">
    <w:nsid w:val="1F2877C7"/>
    <w:multiLevelType w:val="hybridMultilevel"/>
    <w:tmpl w:val="30B4CA8A"/>
    <w:lvl w:ilvl="0" w:tplc="1009000F">
      <w:start w:val="1"/>
      <w:numFmt w:val="decimal"/>
      <w:lvlText w:val="%1."/>
      <w:lvlJc w:val="left"/>
      <w:pPr>
        <w:ind w:left="360" w:hanging="360"/>
      </w:pPr>
      <w:rPr>
        <w:rFonts w:hint="default"/>
      </w:rPr>
    </w:lvl>
    <w:lvl w:ilvl="1" w:tplc="10090019">
      <w:start w:val="1"/>
      <w:numFmt w:val="lowerLetter"/>
      <w:lvlText w:val="%2."/>
      <w:lvlJc w:val="left"/>
      <w:pPr>
        <w:ind w:left="786"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6"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7" w15:restartNumberingAfterBreak="0">
    <w:nsid w:val="3B555AB9"/>
    <w:multiLevelType w:val="hybridMultilevel"/>
    <w:tmpl w:val="B9441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9"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6347AC"/>
    <w:multiLevelType w:val="hybridMultilevel"/>
    <w:tmpl w:val="CC2427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45CA209C"/>
    <w:multiLevelType w:val="hybridMultilevel"/>
    <w:tmpl w:val="7C182F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8"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40"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1"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4"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8FF479D"/>
    <w:multiLevelType w:val="hybridMultilevel"/>
    <w:tmpl w:val="2550F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7"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8"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9"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1"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44"/>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7"/>
  </w:num>
  <w:num w:numId="15">
    <w:abstractNumId w:val="46"/>
  </w:num>
  <w:num w:numId="16">
    <w:abstractNumId w:val="29"/>
  </w:num>
  <w:num w:numId="17">
    <w:abstractNumId w:val="35"/>
  </w:num>
  <w:num w:numId="18">
    <w:abstractNumId w:val="51"/>
  </w:num>
  <w:num w:numId="19">
    <w:abstractNumId w:val="33"/>
  </w:num>
  <w:num w:numId="20">
    <w:abstractNumId w:val="11"/>
  </w:num>
  <w:num w:numId="21">
    <w:abstractNumId w:val="9"/>
  </w:num>
  <w:num w:numId="22">
    <w:abstractNumId w:val="32"/>
  </w:num>
  <w:num w:numId="23">
    <w:abstractNumId w:val="49"/>
  </w:num>
  <w:num w:numId="24">
    <w:abstractNumId w:val="15"/>
  </w:num>
  <w:num w:numId="25">
    <w:abstractNumId w:val="28"/>
  </w:num>
  <w:num w:numId="26">
    <w:abstractNumId w:val="40"/>
  </w:num>
  <w:num w:numId="27">
    <w:abstractNumId w:val="21"/>
  </w:num>
  <w:num w:numId="28">
    <w:abstractNumId w:val="26"/>
  </w:num>
  <w:num w:numId="29">
    <w:abstractNumId w:val="17"/>
  </w:num>
  <w:num w:numId="30">
    <w:abstractNumId w:val="47"/>
  </w:num>
  <w:num w:numId="31">
    <w:abstractNumId w:val="42"/>
  </w:num>
  <w:num w:numId="32">
    <w:abstractNumId w:val="50"/>
    <w:lvlOverride w:ilvl="0">
      <w:startOverride w:val="1"/>
    </w:lvlOverride>
  </w:num>
  <w:num w:numId="33">
    <w:abstractNumId w:val="39"/>
    <w:lvlOverride w:ilvl="0">
      <w:startOverride w:val="1"/>
    </w:lvlOverride>
  </w:num>
  <w:num w:numId="34">
    <w:abstractNumId w:val="41"/>
  </w:num>
  <w:num w:numId="35">
    <w:abstractNumId w:val="25"/>
  </w:num>
  <w:num w:numId="36">
    <w:abstractNumId w:val="24"/>
  </w:num>
  <w:num w:numId="37">
    <w:abstractNumId w:val="23"/>
  </w:num>
  <w:num w:numId="38">
    <w:abstractNumId w:val="12"/>
  </w:num>
  <w:num w:numId="39">
    <w:abstractNumId w:val="48"/>
  </w:num>
  <w:num w:numId="40">
    <w:abstractNumId w:val="16"/>
  </w:num>
  <w:num w:numId="41">
    <w:abstractNumId w:val="43"/>
  </w:num>
  <w:num w:numId="42">
    <w:abstractNumId w:val="19"/>
  </w:num>
  <w:num w:numId="43">
    <w:abstractNumId w:val="38"/>
  </w:num>
  <w:num w:numId="44">
    <w:abstractNumId w:val="45"/>
  </w:num>
  <w:num w:numId="45">
    <w:abstractNumId w:val="22"/>
  </w:num>
  <w:num w:numId="46">
    <w:abstractNumId w:val="13"/>
  </w:num>
  <w:num w:numId="47">
    <w:abstractNumId w:val="36"/>
  </w:num>
  <w:num w:numId="48">
    <w:abstractNumId w:val="27"/>
  </w:num>
  <w:num w:numId="49">
    <w:abstractNumId w:val="31"/>
  </w:num>
  <w:num w:numId="50">
    <w:abstractNumId w:val="20"/>
  </w:num>
  <w:num w:numId="51">
    <w:abstractNumId w:val="30"/>
  </w:num>
  <w:num w:numId="52">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0CCD"/>
    <w:rsid w:val="000456D8"/>
    <w:rsid w:val="00051A77"/>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0997"/>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3375D"/>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45FE"/>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252A"/>
    <w:rsid w:val="0054379D"/>
    <w:rsid w:val="00543F78"/>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362F"/>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2AFE"/>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59AA"/>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B7EB1"/>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3CA8"/>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BC3"/>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9989">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513571222">
      <w:bodyDiv w:val="1"/>
      <w:marLeft w:val="0"/>
      <w:marRight w:val="0"/>
      <w:marTop w:val="0"/>
      <w:marBottom w:val="0"/>
      <w:divBdr>
        <w:top w:val="none" w:sz="0" w:space="0" w:color="auto"/>
        <w:left w:val="none" w:sz="0" w:space="0" w:color="auto"/>
        <w:bottom w:val="none" w:sz="0" w:space="0" w:color="auto"/>
        <w:right w:val="none" w:sz="0" w:space="0" w:color="auto"/>
      </w:divBdr>
    </w:div>
    <w:div w:id="207816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ema.europa.eu/documents/product-information/ninlaro-epar-product-information_e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accessdata.fda.gov/drugsatfda_docs/label/2015/208462lbl.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takeda.com/siteassets/en-ca/home/what-we-do/our-medicines/product-monographs/ninlaro/ninlaro-pm-en-non-annotated_26july2018.pdf" TargetMode="External"/><Relationship Id="rId20" Type="http://schemas.openxmlformats.org/officeDocument/2006/relationships/hyperlink" Target="http://www.esmo.org/Guidelines/Haematological-Malignancies/Multiple-Myelo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jm.org/doi/10.1056/NEJMoa1516282?url_ver=Z39.88-2003&amp;rfr_id=ori:rid:crossref.org&amp;rfr_dat=cr_pub%3dwww.ncbi.nlm.nih.gov" TargetMode="External"/><Relationship Id="rId10" Type="http://schemas.openxmlformats.org/officeDocument/2006/relationships/header" Target="header1.xml"/><Relationship Id="rId19" Type="http://schemas.openxmlformats.org/officeDocument/2006/relationships/hyperlink" Target="https://www.nccn.org/professionals/physician_gls/pdf/myeloma.pdf"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56453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914B-AC05-480D-8FD2-2E85BF32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2018-11-21T17:44:00Z</dcterms:modified>
</cp:coreProperties>
</file>