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6E159780"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8E0AD47" w14:textId="77777777" w:rsidR="00521E15" w:rsidRPr="00EB0EEF" w:rsidRDefault="00521E15" w:rsidP="00521E15">
      <w:pPr>
        <w:spacing w:after="0" w:line="276" w:lineRule="auto"/>
        <w:rPr>
          <w:rFonts w:ascii="Arial" w:hAnsi="Arial" w:cs="Arial"/>
          <w:sz w:val="18"/>
        </w:rPr>
      </w:pPr>
      <w:r w:rsidRPr="00EB0EEF">
        <w:rPr>
          <w:rFonts w:ascii="Arial" w:hAnsi="Arial" w:cs="Arial"/>
          <w:sz w:val="18"/>
        </w:rPr>
        <w:t xml:space="preserve">If this is a joint clinician input submission, please </w:t>
      </w:r>
      <w:r>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1C9EA5E2" w:rsidR="00121EB1" w:rsidRPr="00293E3F" w:rsidRDefault="00890A88" w:rsidP="001361CD">
            <w:pPr>
              <w:pStyle w:val="DocumentTitle"/>
              <w:tabs>
                <w:tab w:val="left" w:pos="1074"/>
              </w:tabs>
              <w:spacing w:before="0" w:after="0"/>
              <w:rPr>
                <w:sz w:val="18"/>
                <w:szCs w:val="20"/>
              </w:rPr>
            </w:pPr>
            <w:proofErr w:type="spellStart"/>
            <w:r w:rsidRPr="00293E3F">
              <w:rPr>
                <w:sz w:val="18"/>
                <w:szCs w:val="20"/>
              </w:rPr>
              <w:t>pCODR</w:t>
            </w:r>
            <w:proofErr w:type="spellEnd"/>
            <w:r w:rsidRPr="00293E3F">
              <w:rPr>
                <w:sz w:val="18"/>
                <w:szCs w:val="20"/>
              </w:rPr>
              <w:t xml:space="preserve"> 101</w:t>
            </w:r>
            <w:r w:rsidR="001E535E" w:rsidRPr="00293E3F">
              <w:rPr>
                <w:sz w:val="18"/>
                <w:szCs w:val="20"/>
              </w:rPr>
              <w:t>7</w:t>
            </w:r>
            <w:r w:rsidR="00EF23C9" w:rsidRPr="00293E3F">
              <w:rPr>
                <w:sz w:val="18"/>
                <w:szCs w:val="20"/>
              </w:rPr>
              <w:t>1</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A3386A4" w:rsidR="00F369F8" w:rsidRPr="00293E3F" w:rsidRDefault="00EF23C9" w:rsidP="00216C7C">
            <w:pPr>
              <w:pStyle w:val="DocumentTitle"/>
              <w:tabs>
                <w:tab w:val="left" w:pos="1074"/>
              </w:tabs>
              <w:spacing w:before="0" w:after="0"/>
              <w:rPr>
                <w:sz w:val="18"/>
                <w:szCs w:val="20"/>
              </w:rPr>
            </w:pPr>
            <w:proofErr w:type="spellStart"/>
            <w:r w:rsidRPr="00293E3F">
              <w:rPr>
                <w:sz w:val="18"/>
                <w:szCs w:val="20"/>
              </w:rPr>
              <w:t>Atezolizumab</w:t>
            </w:r>
            <w:proofErr w:type="spellEnd"/>
            <w:r w:rsidRPr="00293E3F">
              <w:rPr>
                <w:sz w:val="18"/>
                <w:szCs w:val="20"/>
              </w:rPr>
              <w:t xml:space="preserve"> (</w:t>
            </w:r>
            <w:proofErr w:type="spellStart"/>
            <w:r w:rsidRPr="00293E3F">
              <w:rPr>
                <w:sz w:val="18"/>
                <w:szCs w:val="20"/>
              </w:rPr>
              <w:t>Tecentriq</w:t>
            </w:r>
            <w:proofErr w:type="spellEnd"/>
            <w:r w:rsidRPr="00293E3F">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310B125" w:rsidR="00F369F8" w:rsidRPr="00293E3F" w:rsidRDefault="00EF23C9" w:rsidP="00EF23C9">
            <w:pPr>
              <w:pStyle w:val="DocumentTitle"/>
              <w:tabs>
                <w:tab w:val="left" w:pos="1074"/>
              </w:tabs>
              <w:spacing w:before="0" w:after="0"/>
              <w:rPr>
                <w:sz w:val="18"/>
                <w:szCs w:val="20"/>
              </w:rPr>
            </w:pPr>
            <w:r w:rsidRPr="00293E3F">
              <w:rPr>
                <w:sz w:val="18"/>
                <w:szCs w:val="20"/>
              </w:rPr>
              <w:t>Metastatic Breast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D81848" w:rsidRDefault="00F369F8" w:rsidP="00EB0EEF">
            <w:pPr>
              <w:pStyle w:val="DocumentTitle"/>
              <w:tabs>
                <w:tab w:val="left" w:pos="1074"/>
              </w:tabs>
              <w:spacing w:before="80" w:after="80"/>
              <w:rPr>
                <w:color w:val="FFFFFF" w:themeColor="background1"/>
                <w:sz w:val="18"/>
                <w:szCs w:val="20"/>
              </w:rPr>
            </w:pPr>
            <w:r w:rsidRPr="00D81848">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CD504CD" w:rsidR="001E535E" w:rsidRPr="00293E3F" w:rsidRDefault="00293E3F" w:rsidP="00293E3F">
            <w:pPr>
              <w:pStyle w:val="DocumentTitle"/>
              <w:tabs>
                <w:tab w:val="left" w:pos="1074"/>
              </w:tabs>
              <w:spacing w:before="0" w:after="0"/>
              <w:rPr>
                <w:sz w:val="18"/>
                <w:szCs w:val="20"/>
              </w:rPr>
            </w:pPr>
            <w:r w:rsidRPr="00293E3F">
              <w:rPr>
                <w:sz w:val="18"/>
                <w:szCs w:val="20"/>
              </w:rPr>
              <w:t>In combination with nab-paclitaxel for the treatment of patients with unresectable, locally advanced or metastatic triple-negative breast cancer (TNBC) whose tumours express PD-L1 and who have not received prior chemotherapy for metastatic disease.</w:t>
            </w:r>
            <w:r w:rsidR="005C6110">
              <w:rPr>
                <w:sz w:val="18"/>
                <w:szCs w:val="20"/>
              </w:rPr>
              <w:t xml:space="preserve"> </w:t>
            </w:r>
            <w:r w:rsidR="005C6110" w:rsidRPr="005C6110">
              <w:rPr>
                <w:sz w:val="18"/>
                <w:szCs w:val="20"/>
              </w:rPr>
              <w:t>Maintenance TECENTRIQ should be continued until disease progression or unacceptable toxicity.</w:t>
            </w:r>
            <w:bookmarkStart w:id="0" w:name="_GoBack"/>
            <w:bookmarkEnd w:id="0"/>
          </w:p>
        </w:tc>
      </w:tr>
      <w:tr w:rsidR="00F369F8" w:rsidRPr="00EB0EEF" w14:paraId="342A3814" w14:textId="77777777" w:rsidTr="001361CD">
        <w:trPr>
          <w:trHeight w:val="396"/>
        </w:trPr>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D81848" w:rsidRDefault="00554ADB" w:rsidP="00EB0EEF">
            <w:pPr>
              <w:pStyle w:val="DocumentTitle"/>
              <w:tabs>
                <w:tab w:val="left" w:pos="1074"/>
              </w:tabs>
              <w:spacing w:before="0" w:after="0"/>
              <w:rPr>
                <w:color w:val="FFFFFF" w:themeColor="background1"/>
                <w:sz w:val="18"/>
                <w:szCs w:val="20"/>
              </w:rPr>
            </w:pPr>
            <w:r w:rsidRPr="00D81848">
              <w:rPr>
                <w:color w:val="FFFFFF" w:themeColor="background1"/>
                <w:sz w:val="18"/>
                <w:szCs w:val="20"/>
              </w:rPr>
              <w:t xml:space="preserve">Trial(s) </w:t>
            </w:r>
            <w:r w:rsidR="00D47251" w:rsidRPr="00D81848">
              <w:rPr>
                <w:color w:val="FFFFFF" w:themeColor="background1"/>
                <w:sz w:val="18"/>
                <w:szCs w:val="20"/>
              </w:rPr>
              <w:t>B</w:t>
            </w:r>
            <w:r w:rsidRPr="00D81848">
              <w:rPr>
                <w:color w:val="FFFFFF" w:themeColor="background1"/>
                <w:sz w:val="18"/>
                <w:szCs w:val="20"/>
              </w:rPr>
              <w:t xml:space="preserve">eing </w:t>
            </w:r>
            <w:r w:rsidR="00D47251" w:rsidRPr="00D81848">
              <w:rPr>
                <w:color w:val="FFFFFF" w:themeColor="background1"/>
                <w:sz w:val="18"/>
                <w:szCs w:val="20"/>
              </w:rPr>
              <w:t>S</w:t>
            </w:r>
            <w:r w:rsidRPr="00D81848">
              <w:rPr>
                <w:color w:val="FFFFFF" w:themeColor="background1"/>
                <w:sz w:val="18"/>
                <w:szCs w:val="20"/>
              </w:rPr>
              <w:t xml:space="preserve">ubmitted </w:t>
            </w:r>
            <w:r w:rsidR="00F92BE1" w:rsidRPr="00D81848">
              <w:rPr>
                <w:color w:val="FFFFFF" w:themeColor="background1"/>
                <w:sz w:val="18"/>
                <w:szCs w:val="20"/>
              </w:rPr>
              <w:t>to</w:t>
            </w:r>
            <w:r w:rsidRPr="00D81848">
              <w:rPr>
                <w:color w:val="FFFFFF" w:themeColor="background1"/>
                <w:sz w:val="18"/>
                <w:szCs w:val="20"/>
              </w:rPr>
              <w:t xml:space="preserve"> </w:t>
            </w:r>
            <w:proofErr w:type="spellStart"/>
            <w:r w:rsidRPr="00D81848">
              <w:rPr>
                <w:color w:val="FFFFFF" w:themeColor="background1"/>
                <w:sz w:val="18"/>
                <w:szCs w:val="20"/>
              </w:rPr>
              <w:t>pCODR</w:t>
            </w:r>
            <w:r w:rsidR="00865015" w:rsidRPr="00D81848">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EF35726" w14:textId="77777777" w:rsidR="00293E3F" w:rsidRPr="00293E3F" w:rsidRDefault="00293E3F" w:rsidP="001361CD">
            <w:pPr>
              <w:pStyle w:val="DocumentTitle"/>
              <w:numPr>
                <w:ilvl w:val="0"/>
                <w:numId w:val="44"/>
              </w:numPr>
              <w:tabs>
                <w:tab w:val="left" w:pos="1074"/>
              </w:tabs>
              <w:spacing w:before="0" w:after="0"/>
              <w:rPr>
                <w:color w:val="000000"/>
                <w:sz w:val="18"/>
                <w:szCs w:val="18"/>
                <w:shd w:val="clear" w:color="auto" w:fill="FFFFFF"/>
              </w:rPr>
            </w:pPr>
            <w:r w:rsidRPr="00293E3F">
              <w:rPr>
                <w:color w:val="000000"/>
                <w:sz w:val="18"/>
                <w:szCs w:val="18"/>
                <w:shd w:val="clear" w:color="auto" w:fill="FFFFFF"/>
              </w:rPr>
              <w:t>IMpassion130 (</w:t>
            </w:r>
            <w:hyperlink r:id="rId14" w:tgtFrame="_blank" w:history="1">
              <w:r w:rsidRPr="00293E3F">
                <w:rPr>
                  <w:rStyle w:val="Hyperlink"/>
                  <w:sz w:val="18"/>
                  <w:szCs w:val="18"/>
                  <w:bdr w:val="none" w:sz="0" w:space="0" w:color="auto" w:frame="1"/>
                  <w:shd w:val="clear" w:color="auto" w:fill="FFFFFF"/>
                </w:rPr>
                <w:t>NCT02425891</w:t>
              </w:r>
            </w:hyperlink>
            <w:r w:rsidRPr="00293E3F">
              <w:rPr>
                <w:color w:val="000000"/>
                <w:sz w:val="18"/>
                <w:szCs w:val="18"/>
                <w:shd w:val="clear" w:color="auto" w:fill="FFFFFF"/>
              </w:rPr>
              <w:t>)</w:t>
            </w:r>
          </w:p>
          <w:p w14:paraId="52AF8FBD" w14:textId="4C28564B" w:rsidR="001361CD" w:rsidRPr="00293E3F" w:rsidRDefault="005C6110" w:rsidP="00293E3F">
            <w:pPr>
              <w:pStyle w:val="DocumentTitle"/>
              <w:numPr>
                <w:ilvl w:val="0"/>
                <w:numId w:val="44"/>
              </w:numPr>
              <w:tabs>
                <w:tab w:val="left" w:pos="1074"/>
              </w:tabs>
              <w:spacing w:before="0" w:after="0"/>
              <w:rPr>
                <w:color w:val="000000"/>
                <w:sz w:val="18"/>
                <w:szCs w:val="18"/>
                <w:shd w:val="clear" w:color="auto" w:fill="FFFFFF"/>
              </w:rPr>
            </w:pPr>
            <w:hyperlink r:id="rId15" w:tgtFrame="_blank" w:history="1">
              <w:r w:rsidR="00293E3F" w:rsidRPr="00293E3F">
                <w:rPr>
                  <w:rStyle w:val="Hyperlink"/>
                  <w:sz w:val="18"/>
                  <w:szCs w:val="18"/>
                  <w:bdr w:val="none" w:sz="0" w:space="0" w:color="auto" w:frame="1"/>
                  <w:shd w:val="clear" w:color="auto" w:fill="FFFFFF"/>
                </w:rPr>
                <w:t>Schmid et al., NEJM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7862FD5B"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535EB654" w:rsidR="001E535E" w:rsidRPr="00EF23C9" w:rsidRDefault="001361CD" w:rsidP="00D81848">
            <w:pPr>
              <w:pStyle w:val="DocumentTitle"/>
              <w:tabs>
                <w:tab w:val="left" w:pos="1074"/>
              </w:tabs>
              <w:spacing w:before="0" w:after="0"/>
              <w:rPr>
                <w:sz w:val="18"/>
                <w:szCs w:val="20"/>
                <w:highlight w:val="yellow"/>
              </w:rPr>
            </w:pPr>
            <w:r w:rsidRPr="00293E3F">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7194B5E1" w:rsidR="001361CD" w:rsidRPr="00EF23C9" w:rsidRDefault="001361CD" w:rsidP="001361CD">
            <w:pPr>
              <w:pStyle w:val="DocumentTitle"/>
              <w:tabs>
                <w:tab w:val="left" w:pos="1074"/>
              </w:tabs>
              <w:spacing w:before="0" w:after="0"/>
              <w:rPr>
                <w:sz w:val="18"/>
                <w:szCs w:val="18"/>
                <w:highlight w:val="yellow"/>
              </w:rPr>
            </w:pP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6338D085"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16929BF0" w:rsidR="00F438D4" w:rsidRPr="00EF23C9" w:rsidRDefault="00F438D4" w:rsidP="00F438D4">
            <w:pPr>
              <w:pStyle w:val="DocumentTitle"/>
              <w:tabs>
                <w:tab w:val="left" w:pos="1074"/>
              </w:tabs>
              <w:spacing w:before="0" w:after="0"/>
              <w:rPr>
                <w:sz w:val="18"/>
                <w:szCs w:val="18"/>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45395162"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7D27F3D" w14:textId="4DCCFA45" w:rsidR="00F97755" w:rsidRPr="001E535E" w:rsidRDefault="005C6110" w:rsidP="00F97755">
            <w:pPr>
              <w:pStyle w:val="DocumentTitle"/>
              <w:tabs>
                <w:tab w:val="left" w:pos="1074"/>
              </w:tabs>
              <w:spacing w:before="0" w:after="0"/>
              <w:rPr>
                <w:sz w:val="18"/>
                <w:szCs w:val="20"/>
              </w:rPr>
            </w:pPr>
            <w:hyperlink r:id="rId16" w:history="1">
              <w:r w:rsidR="00F97755">
                <w:rPr>
                  <w:rStyle w:val="Hyperlink"/>
                  <w:sz w:val="18"/>
                  <w:szCs w:val="20"/>
                </w:rPr>
                <w:t>NCCN Breast Cancer Guidelines.</w:t>
              </w:r>
            </w:hyperlink>
          </w:p>
          <w:p w14:paraId="5CA8EE80" w14:textId="77777777" w:rsidR="00F97755" w:rsidRDefault="00F97755" w:rsidP="009677BE">
            <w:pPr>
              <w:pStyle w:val="DocumentTitle"/>
              <w:tabs>
                <w:tab w:val="left" w:pos="1074"/>
              </w:tabs>
              <w:spacing w:before="0" w:after="0"/>
              <w:rPr>
                <w:sz w:val="18"/>
                <w:szCs w:val="18"/>
                <w:highlight w:val="yellow"/>
              </w:rPr>
            </w:pPr>
          </w:p>
          <w:p w14:paraId="4BAA04A1" w14:textId="6BC66F37" w:rsidR="00F97755" w:rsidRDefault="00F97755" w:rsidP="009677BE">
            <w:pPr>
              <w:pStyle w:val="DocumentTitle"/>
              <w:tabs>
                <w:tab w:val="left" w:pos="1074"/>
              </w:tabs>
              <w:spacing w:before="0" w:after="0"/>
              <w:rPr>
                <w:sz w:val="18"/>
                <w:szCs w:val="18"/>
              </w:rPr>
            </w:pPr>
            <w:r w:rsidRPr="00F97755">
              <w:rPr>
                <w:sz w:val="18"/>
                <w:szCs w:val="18"/>
              </w:rPr>
              <w:t>4th ESO–ESMO International Consensus Guidelines for Advanced Breast Cancer (ABC 4)</w:t>
            </w:r>
            <w:r>
              <w:rPr>
                <w:sz w:val="18"/>
                <w:szCs w:val="18"/>
              </w:rPr>
              <w:t xml:space="preserve">. </w:t>
            </w:r>
            <w:hyperlink r:id="rId17" w:history="1">
              <w:r w:rsidRPr="00F97755">
                <w:rPr>
                  <w:rStyle w:val="Hyperlink"/>
                  <w:sz w:val="18"/>
                  <w:szCs w:val="18"/>
                </w:rPr>
                <w:t xml:space="preserve">Ann Oncol. 2018 Aug 1;29(8):1634-1657. </w:t>
              </w:r>
              <w:proofErr w:type="spellStart"/>
              <w:r w:rsidRPr="00F97755">
                <w:rPr>
                  <w:rStyle w:val="Hyperlink"/>
                  <w:sz w:val="18"/>
                  <w:szCs w:val="18"/>
                </w:rPr>
                <w:t>doi</w:t>
              </w:r>
              <w:proofErr w:type="spellEnd"/>
              <w:r w:rsidRPr="00F97755">
                <w:rPr>
                  <w:rStyle w:val="Hyperlink"/>
                  <w:sz w:val="18"/>
                  <w:szCs w:val="18"/>
                </w:rPr>
                <w:t>: 10.1093/</w:t>
              </w:r>
              <w:proofErr w:type="spellStart"/>
              <w:r w:rsidRPr="00F97755">
                <w:rPr>
                  <w:rStyle w:val="Hyperlink"/>
                  <w:sz w:val="18"/>
                  <w:szCs w:val="18"/>
                </w:rPr>
                <w:t>annonc</w:t>
              </w:r>
              <w:proofErr w:type="spellEnd"/>
              <w:r w:rsidRPr="00F97755">
                <w:rPr>
                  <w:rStyle w:val="Hyperlink"/>
                  <w:sz w:val="18"/>
                  <w:szCs w:val="18"/>
                </w:rPr>
                <w:t>/mdy192.</w:t>
              </w:r>
            </w:hyperlink>
          </w:p>
          <w:p w14:paraId="225879C8" w14:textId="77777777" w:rsidR="00F97755" w:rsidRDefault="00F97755" w:rsidP="009677BE">
            <w:pPr>
              <w:pStyle w:val="DocumentTitle"/>
              <w:tabs>
                <w:tab w:val="left" w:pos="1074"/>
              </w:tabs>
              <w:spacing w:before="0" w:after="0"/>
              <w:rPr>
                <w:sz w:val="18"/>
                <w:szCs w:val="18"/>
              </w:rPr>
            </w:pPr>
          </w:p>
          <w:p w14:paraId="17E99E46" w14:textId="786EE14D" w:rsidR="0013642F" w:rsidRPr="00EF23C9" w:rsidRDefault="00F97755" w:rsidP="009677BE">
            <w:pPr>
              <w:pStyle w:val="DocumentTitle"/>
              <w:tabs>
                <w:tab w:val="left" w:pos="1074"/>
              </w:tabs>
              <w:spacing w:before="0" w:after="0"/>
              <w:rPr>
                <w:sz w:val="18"/>
                <w:szCs w:val="18"/>
                <w:highlight w:val="yellow"/>
              </w:rPr>
            </w:pPr>
            <w:r w:rsidRPr="00F97755">
              <w:rPr>
                <w:sz w:val="18"/>
                <w:szCs w:val="18"/>
              </w:rPr>
              <w:t xml:space="preserve">Chemotherapy and Targeted Therapy for Women </w:t>
            </w:r>
            <w:proofErr w:type="gramStart"/>
            <w:r w:rsidRPr="00F97755">
              <w:rPr>
                <w:sz w:val="18"/>
                <w:szCs w:val="18"/>
              </w:rPr>
              <w:t>With</w:t>
            </w:r>
            <w:proofErr w:type="gramEnd"/>
            <w:r w:rsidRPr="00F97755">
              <w:rPr>
                <w:sz w:val="18"/>
                <w:szCs w:val="18"/>
              </w:rPr>
              <w:t xml:space="preserve"> Human Epidermal Growth Factor Receptor 2–Negative (or unknown) Advanced Breast Cancer: American Society of Clinical Oncology Clinical Practice Guideline</w:t>
            </w:r>
            <w:r>
              <w:rPr>
                <w:sz w:val="18"/>
                <w:szCs w:val="18"/>
              </w:rPr>
              <w:t xml:space="preserve">. </w:t>
            </w:r>
            <w:hyperlink r:id="rId18" w:history="1">
              <w:r w:rsidRPr="00F97755">
                <w:rPr>
                  <w:rStyle w:val="Hyperlink"/>
                  <w:sz w:val="18"/>
                  <w:szCs w:val="18"/>
                </w:rPr>
                <w:t xml:space="preserve">DOI: 10.1200/JCO.2014.56.7479 Journal of Clinical Oncology 32, no. 29 (October </w:t>
              </w:r>
              <w:proofErr w:type="gramStart"/>
              <w:r w:rsidRPr="00F97755">
                <w:rPr>
                  <w:rStyle w:val="Hyperlink"/>
                  <w:sz w:val="18"/>
                  <w:szCs w:val="18"/>
                </w:rPr>
                <w:t>10</w:t>
              </w:r>
              <w:proofErr w:type="gramEnd"/>
              <w:r w:rsidRPr="00F97755">
                <w:rPr>
                  <w:rStyle w:val="Hyperlink"/>
                  <w:sz w:val="18"/>
                  <w:szCs w:val="18"/>
                </w:rPr>
                <w:t xml:space="preserve"> 2014) 3307-3329.</w:t>
              </w:r>
            </w:hyperlink>
            <w:r w:rsidR="001361CD" w:rsidRPr="00EF23C9">
              <w:rPr>
                <w:sz w:val="18"/>
                <w:szCs w:val="20"/>
                <w:highlight w:val="yellow"/>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59144390" w:rsidR="001361CD" w:rsidRPr="00EF23C9" w:rsidRDefault="00293E3F" w:rsidP="00F438D4">
            <w:pPr>
              <w:pStyle w:val="DocumentTitle"/>
              <w:tabs>
                <w:tab w:val="left" w:pos="1074"/>
              </w:tabs>
              <w:spacing w:before="0" w:after="0"/>
              <w:rPr>
                <w:color w:val="C00000"/>
                <w:sz w:val="18"/>
                <w:szCs w:val="20"/>
                <w:highlight w:val="yellow"/>
              </w:rPr>
            </w:pPr>
            <w:r w:rsidRPr="00293E3F">
              <w:rPr>
                <w:sz w:val="18"/>
                <w:szCs w:val="20"/>
              </w:rPr>
              <w:t xml:space="preserve">There is no specific standard of care for patients with unresectable, locally advanced or metastatic triple-negative breast cancer (TNBC) whose tumours express PD-L1 and who have not received prior chemotherapy for metastatic disease. Patients are currently treated with first-line chemotherapy including gemcitabine-based, </w:t>
            </w:r>
            <w:proofErr w:type="spellStart"/>
            <w:r w:rsidRPr="00293E3F">
              <w:rPr>
                <w:sz w:val="18"/>
                <w:szCs w:val="20"/>
              </w:rPr>
              <w:t>taxane</w:t>
            </w:r>
            <w:proofErr w:type="spellEnd"/>
            <w:r w:rsidRPr="00293E3F">
              <w:rPr>
                <w:sz w:val="18"/>
                <w:szCs w:val="20"/>
              </w:rPr>
              <w:t xml:space="preserve">-based or anthracycline-based therapy (e.g., docetaxel, paclitaxel, nab-paclitaxel, carboplatin). Nab-paclitaxel eligibility in this setting varies by jurisdictions, in some provinces it is only an option for patients who cannot tolerate a </w:t>
            </w:r>
            <w:proofErr w:type="spellStart"/>
            <w:r w:rsidRPr="00293E3F">
              <w:rPr>
                <w:sz w:val="18"/>
                <w:szCs w:val="20"/>
              </w:rPr>
              <w:t>taxane</w:t>
            </w:r>
            <w:proofErr w:type="spellEnd"/>
            <w:r w:rsidRPr="00293E3F">
              <w:rPr>
                <w:sz w:val="18"/>
                <w:szCs w:val="20"/>
              </w:rPr>
              <w:t xml:space="preserve"> (i.e., docetaxel or paclitaxel).</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290C0F52" w14:textId="6A566D7E" w:rsidR="00673649" w:rsidRPr="00673649" w:rsidRDefault="00673649" w:rsidP="00673649">
      <w:pPr>
        <w:pStyle w:val="BodyText"/>
        <w:numPr>
          <w:ilvl w:val="0"/>
          <w:numId w:val="41"/>
        </w:numPr>
        <w:spacing w:after="0" w:line="276" w:lineRule="auto"/>
        <w:ind w:left="1170" w:hanging="187"/>
        <w:rPr>
          <w:rFonts w:ascii="Arial" w:hAnsi="Arial" w:cs="Arial"/>
          <w:b/>
          <w:sz w:val="18"/>
          <w:szCs w:val="18"/>
          <w:u w:val="single"/>
        </w:rPr>
      </w:pPr>
      <w:r w:rsidRPr="00673649">
        <w:rPr>
          <w:rFonts w:ascii="Arial" w:hAnsi="Arial" w:cs="Arial"/>
          <w:b/>
          <w:sz w:val="18"/>
          <w:szCs w:val="18"/>
          <w:u w:val="single"/>
        </w:rPr>
        <w:t>Implementation Questions:</w:t>
      </w:r>
      <w:r w:rsidRPr="00673649">
        <w:rPr>
          <w:rFonts w:ascii="Arial" w:hAnsi="Arial" w:cs="Arial"/>
          <w:b/>
          <w:sz w:val="18"/>
          <w:szCs w:val="18"/>
        </w:rPr>
        <w:t xml:space="preserve"> </w:t>
      </w:r>
      <w:r w:rsidRPr="00673649">
        <w:rPr>
          <w:rFonts w:ascii="Arial" w:hAnsi="Arial" w:cs="Arial"/>
          <w:sz w:val="18"/>
          <w:szCs w:val="18"/>
        </w:rPr>
        <w:t xml:space="preserve">Is there evidence to extend the use of </w:t>
      </w:r>
      <w:proofErr w:type="spellStart"/>
      <w:r w:rsidRPr="00673649">
        <w:rPr>
          <w:rFonts w:ascii="Arial" w:hAnsi="Arial" w:cs="Arial"/>
          <w:sz w:val="18"/>
          <w:szCs w:val="18"/>
        </w:rPr>
        <w:t>atezolizumab</w:t>
      </w:r>
      <w:proofErr w:type="spellEnd"/>
      <w:r w:rsidRPr="00673649">
        <w:rPr>
          <w:rFonts w:ascii="Arial" w:hAnsi="Arial" w:cs="Arial"/>
          <w:sz w:val="18"/>
          <w:szCs w:val="18"/>
        </w:rPr>
        <w:t xml:space="preserve"> plus nab-paclitaxel/other chemotherapy backbones (provided all other eligibility criteria are met) to patients:</w:t>
      </w:r>
    </w:p>
    <w:p w14:paraId="4EB48671" w14:textId="77777777" w:rsidR="00673649" w:rsidRPr="00673649" w:rsidRDefault="00673649" w:rsidP="00673649">
      <w:pPr>
        <w:pStyle w:val="BodyText"/>
        <w:numPr>
          <w:ilvl w:val="1"/>
          <w:numId w:val="41"/>
        </w:numPr>
        <w:spacing w:after="0" w:line="276" w:lineRule="auto"/>
        <w:rPr>
          <w:rFonts w:ascii="Arial" w:hAnsi="Arial" w:cs="Arial"/>
          <w:sz w:val="18"/>
          <w:szCs w:val="18"/>
        </w:rPr>
      </w:pPr>
      <w:r w:rsidRPr="00673649">
        <w:rPr>
          <w:rFonts w:ascii="Arial" w:hAnsi="Arial" w:cs="Arial"/>
          <w:sz w:val="18"/>
          <w:szCs w:val="18"/>
        </w:rPr>
        <w:t>Without histologically documented TNBC (e.g., HER2-negative, weakly ER-positive, PR-negative)?</w:t>
      </w:r>
    </w:p>
    <w:p w14:paraId="7E968C17" w14:textId="77777777" w:rsidR="00673649" w:rsidRPr="00673649" w:rsidRDefault="00673649" w:rsidP="00673649">
      <w:pPr>
        <w:pStyle w:val="BodyText"/>
        <w:numPr>
          <w:ilvl w:val="1"/>
          <w:numId w:val="41"/>
        </w:numPr>
        <w:spacing w:after="0" w:line="276" w:lineRule="auto"/>
        <w:rPr>
          <w:rFonts w:ascii="Arial" w:hAnsi="Arial" w:cs="Arial"/>
          <w:sz w:val="18"/>
          <w:szCs w:val="18"/>
        </w:rPr>
      </w:pPr>
      <w:r w:rsidRPr="00673649">
        <w:rPr>
          <w:rFonts w:ascii="Arial" w:hAnsi="Arial" w:cs="Arial"/>
          <w:sz w:val="18"/>
          <w:szCs w:val="18"/>
        </w:rPr>
        <w:t xml:space="preserve">With previous curative chemotherapy (including </w:t>
      </w:r>
      <w:proofErr w:type="spellStart"/>
      <w:r w:rsidRPr="00673649">
        <w:rPr>
          <w:rFonts w:ascii="Arial" w:hAnsi="Arial" w:cs="Arial"/>
          <w:sz w:val="18"/>
          <w:szCs w:val="18"/>
        </w:rPr>
        <w:t>taxanes</w:t>
      </w:r>
      <w:proofErr w:type="spellEnd"/>
      <w:r w:rsidRPr="00673649">
        <w:rPr>
          <w:rFonts w:ascii="Arial" w:hAnsi="Arial" w:cs="Arial"/>
          <w:sz w:val="18"/>
          <w:szCs w:val="18"/>
        </w:rPr>
        <w:t>) completed ≤12 months prior?</w:t>
      </w:r>
    </w:p>
    <w:p w14:paraId="7E729299" w14:textId="1EC82AEE" w:rsidR="00673649" w:rsidRPr="00673649" w:rsidRDefault="00673649" w:rsidP="00673649">
      <w:pPr>
        <w:pStyle w:val="BodyText"/>
        <w:numPr>
          <w:ilvl w:val="1"/>
          <w:numId w:val="41"/>
        </w:numPr>
        <w:spacing w:after="0" w:line="276" w:lineRule="auto"/>
        <w:rPr>
          <w:rFonts w:ascii="Arial" w:hAnsi="Arial" w:cs="Arial"/>
          <w:sz w:val="18"/>
          <w:szCs w:val="18"/>
        </w:rPr>
      </w:pPr>
      <w:r w:rsidRPr="00673649">
        <w:rPr>
          <w:rFonts w:ascii="Arial" w:hAnsi="Arial" w:cs="Arial"/>
          <w:sz w:val="18"/>
          <w:szCs w:val="18"/>
        </w:rPr>
        <w:t>With previous chemotherapy for metastatic TNBC?</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5C6110"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proofErr w:type="gramStart"/>
      <w:r w:rsidR="00557689" w:rsidRPr="00EB0EEF">
        <w:rPr>
          <w:rFonts w:ascii="Arial" w:hAnsi="Arial" w:cs="Arial"/>
          <w:sz w:val="18"/>
        </w:rPr>
        <w:t>in the event that</w:t>
      </w:r>
      <w:proofErr w:type="gramEnd"/>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 xml:space="preserve">re there specific considerations to a testing algorithm that you think would be important to share with the </w:t>
      </w:r>
      <w:proofErr w:type="spellStart"/>
      <w:r w:rsidR="00CE4147" w:rsidRPr="00EB0EEF">
        <w:rPr>
          <w:rFonts w:ascii="Arial" w:hAnsi="Arial" w:cs="Arial"/>
          <w:sz w:val="18"/>
        </w:rPr>
        <w:t>pCODR</w:t>
      </w:r>
      <w:proofErr w:type="spellEnd"/>
      <w:r w:rsidR="00CE4147" w:rsidRPr="00EB0EEF">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proofErr w:type="gramStart"/>
      <w:r w:rsidR="003B1E52" w:rsidRPr="00EB0EEF">
        <w:rPr>
          <w:rFonts w:ascii="Arial" w:hAnsi="Arial" w:cs="Arial"/>
          <w:sz w:val="18"/>
        </w:rPr>
        <w:t>if and when</w:t>
      </w:r>
      <w:proofErr w:type="gramEnd"/>
      <w:r w:rsidR="003B1E52" w:rsidRPr="00EB0EEF">
        <w:rPr>
          <w:rFonts w:ascii="Arial" w:hAnsi="Arial" w:cs="Arial"/>
          <w:sz w:val="18"/>
        </w:rPr>
        <w:t xml:space="preserve">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328A9EF3" w14:textId="1A065BCA" w:rsidR="00673649" w:rsidRPr="00673649" w:rsidRDefault="0013642F" w:rsidP="00673649">
      <w:pPr>
        <w:pStyle w:val="pCODR1Body"/>
        <w:spacing w:after="0"/>
        <w:ind w:left="360"/>
        <w:rPr>
          <w:rFonts w:ascii="Arial" w:hAnsi="Arial" w:cs="Arial"/>
          <w:b/>
          <w:sz w:val="18"/>
        </w:rPr>
      </w:pPr>
      <w:r w:rsidRPr="00673649">
        <w:rPr>
          <w:rFonts w:ascii="Arial" w:hAnsi="Arial" w:cs="Arial"/>
          <w:b/>
          <w:sz w:val="18"/>
        </w:rPr>
        <w:t xml:space="preserve">4.1. </w:t>
      </w:r>
      <w:r w:rsidR="008B5B65" w:rsidRPr="008B5B65">
        <w:rPr>
          <w:rFonts w:ascii="Arial" w:hAnsi="Arial" w:cs="Arial"/>
          <w:sz w:val="18"/>
        </w:rPr>
        <w:t xml:space="preserve">In some jurisdictions, </w:t>
      </w:r>
      <w:r w:rsidR="00C241B2" w:rsidRPr="008B5B65">
        <w:rPr>
          <w:rFonts w:ascii="Arial" w:hAnsi="Arial" w:cs="Arial"/>
          <w:sz w:val="18"/>
        </w:rPr>
        <w:t>n</w:t>
      </w:r>
      <w:r w:rsidR="00673649" w:rsidRPr="00673649">
        <w:rPr>
          <w:rFonts w:ascii="Arial" w:hAnsi="Arial" w:cs="Arial"/>
          <w:sz w:val="18"/>
        </w:rPr>
        <w:t xml:space="preserve">ab-paclitaxel is only an option for patients who cannot tolerate a </w:t>
      </w:r>
      <w:proofErr w:type="spellStart"/>
      <w:r w:rsidR="00673649" w:rsidRPr="00673649">
        <w:rPr>
          <w:rFonts w:ascii="Arial" w:hAnsi="Arial" w:cs="Arial"/>
          <w:sz w:val="18"/>
        </w:rPr>
        <w:t>taxane</w:t>
      </w:r>
      <w:proofErr w:type="spellEnd"/>
      <w:r w:rsidR="00673649" w:rsidRPr="00673649">
        <w:rPr>
          <w:rFonts w:ascii="Arial" w:hAnsi="Arial" w:cs="Arial"/>
          <w:sz w:val="18"/>
        </w:rPr>
        <w:t xml:space="preserve"> </w:t>
      </w:r>
      <w:r w:rsidR="008B5B65">
        <w:rPr>
          <w:rFonts w:ascii="Arial" w:hAnsi="Arial" w:cs="Arial"/>
          <w:sz w:val="18"/>
        </w:rPr>
        <w:t>(i.e., docetaxel or paclitaxel).</w:t>
      </w:r>
      <w:r w:rsidR="00673649" w:rsidRPr="00673649">
        <w:rPr>
          <w:rFonts w:ascii="Arial" w:hAnsi="Arial" w:cs="Arial"/>
          <w:sz w:val="18"/>
        </w:rPr>
        <w:t xml:space="preserve"> </w:t>
      </w:r>
      <w:r w:rsidR="008B5B65">
        <w:rPr>
          <w:rFonts w:ascii="Arial" w:hAnsi="Arial" w:cs="Arial"/>
          <w:sz w:val="18"/>
        </w:rPr>
        <w:t>A</w:t>
      </w:r>
      <w:r w:rsidR="00673649" w:rsidRPr="00673649">
        <w:rPr>
          <w:rFonts w:ascii="Arial" w:hAnsi="Arial" w:cs="Arial"/>
          <w:sz w:val="18"/>
        </w:rPr>
        <w:t xml:space="preserve">re the results from the IMpassion130trial </w:t>
      </w:r>
      <w:r w:rsidR="00C241B2" w:rsidRPr="00673649">
        <w:rPr>
          <w:rFonts w:ascii="Arial" w:hAnsi="Arial" w:cs="Arial"/>
          <w:sz w:val="18"/>
        </w:rPr>
        <w:t>generalizab</w:t>
      </w:r>
      <w:r w:rsidR="00C241B2">
        <w:rPr>
          <w:rFonts w:ascii="Arial" w:hAnsi="Arial" w:cs="Arial"/>
          <w:sz w:val="18"/>
        </w:rPr>
        <w:t>le</w:t>
      </w:r>
      <w:r w:rsidR="00C241B2" w:rsidRPr="00673649">
        <w:rPr>
          <w:rFonts w:ascii="Arial" w:hAnsi="Arial" w:cs="Arial"/>
          <w:sz w:val="18"/>
        </w:rPr>
        <w:t xml:space="preserve"> </w:t>
      </w:r>
      <w:r w:rsidR="00673649" w:rsidRPr="00673649">
        <w:rPr>
          <w:rFonts w:ascii="Arial" w:hAnsi="Arial" w:cs="Arial"/>
          <w:sz w:val="18"/>
        </w:rPr>
        <w:t xml:space="preserve">to </w:t>
      </w:r>
      <w:proofErr w:type="spellStart"/>
      <w:r w:rsidR="00673649" w:rsidRPr="00673649">
        <w:rPr>
          <w:rFonts w:ascii="Arial" w:hAnsi="Arial" w:cs="Arial"/>
          <w:sz w:val="18"/>
        </w:rPr>
        <w:t>atezolizumab</w:t>
      </w:r>
      <w:proofErr w:type="spellEnd"/>
      <w:r w:rsidR="00673649" w:rsidRPr="00673649">
        <w:rPr>
          <w:rFonts w:ascii="Arial" w:hAnsi="Arial" w:cs="Arial"/>
          <w:sz w:val="18"/>
        </w:rPr>
        <w:t xml:space="preserve"> in combination with other </w:t>
      </w:r>
      <w:proofErr w:type="spellStart"/>
      <w:r w:rsidR="008B5B65">
        <w:rPr>
          <w:rFonts w:ascii="Arial" w:hAnsi="Arial" w:cs="Arial"/>
          <w:sz w:val="18"/>
        </w:rPr>
        <w:t>taxane</w:t>
      </w:r>
      <w:proofErr w:type="spellEnd"/>
      <w:r w:rsidR="008B5B65">
        <w:rPr>
          <w:rFonts w:ascii="Arial" w:hAnsi="Arial" w:cs="Arial"/>
          <w:sz w:val="18"/>
        </w:rPr>
        <w:t xml:space="preserve"> </w:t>
      </w:r>
      <w:r w:rsidR="00673649" w:rsidRPr="00673649">
        <w:rPr>
          <w:rFonts w:ascii="Arial" w:hAnsi="Arial" w:cs="Arial"/>
          <w:sz w:val="18"/>
        </w:rPr>
        <w:t>chemotherapy backbones (e.g., paclitaxel, docetaxel)?</w:t>
      </w:r>
    </w:p>
    <w:p w14:paraId="0B00A8FF" w14:textId="00FC248F" w:rsidR="00673649" w:rsidRPr="00673649" w:rsidRDefault="00673649" w:rsidP="00673649">
      <w:pPr>
        <w:pStyle w:val="pCODR1Body"/>
        <w:spacing w:after="0"/>
        <w:ind w:left="360"/>
        <w:rPr>
          <w:rFonts w:ascii="Arial" w:hAnsi="Arial" w:cs="Arial"/>
          <w:b/>
          <w:sz w:val="18"/>
        </w:rPr>
      </w:pPr>
      <w:r w:rsidRPr="00673649">
        <w:rPr>
          <w:rFonts w:ascii="Arial" w:hAnsi="Arial" w:cs="Arial"/>
          <w:b/>
          <w:sz w:val="18"/>
        </w:rPr>
        <w:t>4.1.1.</w:t>
      </w:r>
      <w:r w:rsidRPr="00673649">
        <w:rPr>
          <w:rFonts w:ascii="Arial" w:hAnsi="Arial" w:cs="Arial"/>
          <w:sz w:val="18"/>
        </w:rPr>
        <w:t xml:space="preserve"> For patients with TNBC that have a BRCA positive mutation, a platinum agent (e.g., carboplatin</w:t>
      </w:r>
      <w:r w:rsidR="008B5B65">
        <w:rPr>
          <w:rFonts w:ascii="Arial" w:hAnsi="Arial" w:cs="Arial"/>
          <w:sz w:val="18"/>
        </w:rPr>
        <w:t>, cisplatin</w:t>
      </w:r>
      <w:r w:rsidRPr="00673649">
        <w:rPr>
          <w:rFonts w:ascii="Arial" w:hAnsi="Arial" w:cs="Arial"/>
          <w:sz w:val="18"/>
        </w:rPr>
        <w:t xml:space="preserve">) is added to </w:t>
      </w:r>
      <w:proofErr w:type="spellStart"/>
      <w:r w:rsidRPr="00673649">
        <w:rPr>
          <w:rFonts w:ascii="Arial" w:hAnsi="Arial" w:cs="Arial"/>
          <w:sz w:val="18"/>
        </w:rPr>
        <w:t>taxane</w:t>
      </w:r>
      <w:proofErr w:type="spellEnd"/>
      <w:r w:rsidRPr="00673649">
        <w:rPr>
          <w:rFonts w:ascii="Arial" w:hAnsi="Arial" w:cs="Arial"/>
          <w:sz w:val="18"/>
        </w:rPr>
        <w:t xml:space="preserve">-based chemotherapy; is there evidence to support adding a platinum agent to nab-paclitaxel plus </w:t>
      </w:r>
      <w:proofErr w:type="spellStart"/>
      <w:r w:rsidRPr="00673649">
        <w:rPr>
          <w:rFonts w:ascii="Arial" w:hAnsi="Arial" w:cs="Arial"/>
          <w:sz w:val="18"/>
        </w:rPr>
        <w:t>atezolizumab</w:t>
      </w:r>
      <w:proofErr w:type="spellEnd"/>
      <w:r w:rsidRPr="00673649">
        <w:rPr>
          <w:rFonts w:ascii="Arial" w:hAnsi="Arial" w:cs="Arial"/>
          <w:sz w:val="18"/>
        </w:rPr>
        <w:t xml:space="preserve"> for these patients?</w:t>
      </w:r>
    </w:p>
    <w:p w14:paraId="335FF483" w14:textId="0C9E66E0" w:rsidR="00673649" w:rsidRPr="00673649" w:rsidRDefault="00673649" w:rsidP="00673649">
      <w:pPr>
        <w:pStyle w:val="pCODR1Body"/>
        <w:spacing w:after="0"/>
        <w:ind w:left="360"/>
        <w:rPr>
          <w:rFonts w:ascii="Arial" w:hAnsi="Arial" w:cs="Arial"/>
          <w:sz w:val="18"/>
        </w:rPr>
      </w:pPr>
      <w:r w:rsidRPr="00673649">
        <w:rPr>
          <w:rFonts w:ascii="Arial" w:hAnsi="Arial" w:cs="Arial"/>
          <w:b/>
          <w:sz w:val="18"/>
        </w:rPr>
        <w:t>4.1.2.</w:t>
      </w:r>
      <w:r w:rsidRPr="00673649">
        <w:rPr>
          <w:rFonts w:ascii="Arial" w:hAnsi="Arial" w:cs="Arial"/>
          <w:sz w:val="18"/>
        </w:rPr>
        <w:t xml:space="preserve"> In clinical </w:t>
      </w:r>
      <w:r w:rsidR="008B5B65">
        <w:rPr>
          <w:rFonts w:ascii="Arial" w:hAnsi="Arial" w:cs="Arial"/>
          <w:sz w:val="18"/>
        </w:rPr>
        <w:t xml:space="preserve">practice, is it appropriate </w:t>
      </w:r>
      <w:r w:rsidR="00C241B2">
        <w:rPr>
          <w:rFonts w:ascii="Arial" w:hAnsi="Arial" w:cs="Arial"/>
          <w:sz w:val="18"/>
        </w:rPr>
        <w:t xml:space="preserve">to provide </w:t>
      </w:r>
      <w:r w:rsidRPr="00673649">
        <w:rPr>
          <w:rFonts w:ascii="Arial" w:hAnsi="Arial" w:cs="Arial"/>
          <w:sz w:val="18"/>
        </w:rPr>
        <w:t xml:space="preserve">premedication with low dose steroids prior to administration of </w:t>
      </w:r>
      <w:r w:rsidR="00876024">
        <w:rPr>
          <w:rFonts w:ascii="Arial" w:hAnsi="Arial" w:cs="Arial"/>
          <w:sz w:val="18"/>
        </w:rPr>
        <w:t xml:space="preserve">the PD-L1 inhibitor </w:t>
      </w:r>
      <w:proofErr w:type="spellStart"/>
      <w:r w:rsidRPr="00673649">
        <w:rPr>
          <w:rFonts w:ascii="Arial" w:hAnsi="Arial" w:cs="Arial"/>
          <w:sz w:val="18"/>
        </w:rPr>
        <w:t>atezolizumab</w:t>
      </w:r>
      <w:proofErr w:type="spellEnd"/>
      <w:r w:rsidRPr="00673649">
        <w:rPr>
          <w:rFonts w:ascii="Arial" w:hAnsi="Arial" w:cs="Arial"/>
          <w:sz w:val="18"/>
        </w:rPr>
        <w:t xml:space="preserve"> in this setting?</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673649" w:rsidRPr="00EF23C9" w14:paraId="082E56A1" w14:textId="77777777" w:rsidTr="00673649">
        <w:trPr>
          <w:trHeight w:val="39"/>
        </w:trPr>
        <w:tc>
          <w:tcPr>
            <w:tcW w:w="10346" w:type="dxa"/>
          </w:tcPr>
          <w:p w14:paraId="63B09418" w14:textId="77777777" w:rsidR="00673649" w:rsidRPr="00EF23C9" w:rsidRDefault="00673649" w:rsidP="00035C74">
            <w:pPr>
              <w:pStyle w:val="pCODR01AppendixHeader"/>
              <w:spacing w:after="0"/>
              <w:rPr>
                <w:highlight w:val="yellow"/>
              </w:rPr>
            </w:pPr>
          </w:p>
        </w:tc>
      </w:tr>
    </w:tbl>
    <w:p w14:paraId="0A4DC3D4" w14:textId="77777777" w:rsidR="00673649" w:rsidRPr="00673649" w:rsidRDefault="00673649" w:rsidP="00673649">
      <w:pPr>
        <w:pStyle w:val="pCODR1Body"/>
        <w:spacing w:after="0"/>
        <w:ind w:left="360"/>
        <w:rPr>
          <w:rFonts w:ascii="Arial" w:hAnsi="Arial" w:cs="Arial"/>
          <w:b/>
          <w:sz w:val="18"/>
        </w:rPr>
      </w:pPr>
    </w:p>
    <w:p w14:paraId="5BAF986A" w14:textId="031FCE2A" w:rsidR="00F438D4" w:rsidRPr="00673649" w:rsidRDefault="00673649" w:rsidP="00673649">
      <w:pPr>
        <w:pStyle w:val="pCODR1Body"/>
        <w:spacing w:after="0"/>
        <w:ind w:left="360"/>
        <w:rPr>
          <w:rFonts w:ascii="Arial" w:hAnsi="Arial" w:cs="Arial"/>
          <w:b/>
          <w:sz w:val="18"/>
        </w:rPr>
      </w:pPr>
      <w:r w:rsidRPr="00673649">
        <w:rPr>
          <w:rFonts w:ascii="Arial" w:hAnsi="Arial" w:cs="Arial"/>
          <w:b/>
          <w:sz w:val="18"/>
        </w:rPr>
        <w:lastRenderedPageBreak/>
        <w:t>4.2.</w:t>
      </w:r>
      <w:r w:rsidRPr="00673649">
        <w:rPr>
          <w:rFonts w:ascii="Arial" w:hAnsi="Arial" w:cs="Arial"/>
          <w:sz w:val="18"/>
        </w:rPr>
        <w:t xml:space="preserve"> With respect to PD-L1 testing, should all patients with TNBC be tested? </w:t>
      </w:r>
      <w:r w:rsidR="00C241B2">
        <w:rPr>
          <w:rFonts w:ascii="Arial" w:hAnsi="Arial" w:cs="Arial"/>
          <w:sz w:val="18"/>
        </w:rPr>
        <w:t>If so, when</w:t>
      </w:r>
      <w:r w:rsidR="00C241B2" w:rsidRPr="00673649">
        <w:rPr>
          <w:rFonts w:ascii="Arial" w:hAnsi="Arial" w:cs="Arial"/>
          <w:sz w:val="18"/>
        </w:rPr>
        <w:t xml:space="preserve"> </w:t>
      </w:r>
      <w:r w:rsidRPr="00673649">
        <w:rPr>
          <w:rFonts w:ascii="Arial" w:hAnsi="Arial" w:cs="Arial"/>
          <w:sz w:val="18"/>
        </w:rPr>
        <w:t xml:space="preserve">should testing be completed (i.e., at diagnosis or at time of relapse)? Would you use </w:t>
      </w:r>
      <w:proofErr w:type="spellStart"/>
      <w:r w:rsidRPr="00673649">
        <w:rPr>
          <w:rFonts w:ascii="Arial" w:hAnsi="Arial" w:cs="Arial"/>
          <w:sz w:val="18"/>
        </w:rPr>
        <w:t>atezolizumab</w:t>
      </w:r>
      <w:proofErr w:type="spellEnd"/>
      <w:r w:rsidRPr="00673649">
        <w:rPr>
          <w:rFonts w:ascii="Arial" w:hAnsi="Arial" w:cs="Arial"/>
          <w:sz w:val="18"/>
        </w:rPr>
        <w:t xml:space="preserve"> in this setting only for patients whose tumours have PD-L1 expression ≥1%?</w:t>
      </w:r>
      <w:bookmarkStart w:id="9" w:name="_Toc439923603"/>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F438D4" w:rsidRPr="00673649" w14:paraId="270551F3" w14:textId="77777777" w:rsidTr="00673649">
        <w:trPr>
          <w:trHeight w:val="118"/>
        </w:trPr>
        <w:tc>
          <w:tcPr>
            <w:tcW w:w="10346" w:type="dxa"/>
          </w:tcPr>
          <w:p w14:paraId="38476BF4" w14:textId="77777777" w:rsidR="00F438D4" w:rsidRPr="00673649" w:rsidRDefault="00F438D4" w:rsidP="00EE45AB">
            <w:pPr>
              <w:pStyle w:val="pCODR01AppendixHeader"/>
              <w:spacing w:after="0"/>
            </w:pPr>
          </w:p>
        </w:tc>
      </w:tr>
    </w:tbl>
    <w:p w14:paraId="5A0CCDFE" w14:textId="77777777" w:rsidR="00F438D4" w:rsidRPr="00673649" w:rsidRDefault="00F438D4" w:rsidP="001361CD">
      <w:pPr>
        <w:pStyle w:val="pCODR1Body"/>
        <w:spacing w:after="0"/>
        <w:ind w:left="360"/>
        <w:rPr>
          <w:rFonts w:ascii="Arial" w:hAnsi="Arial" w:cs="Arial"/>
          <w:sz w:val="18"/>
          <w:szCs w:val="18"/>
        </w:rPr>
      </w:pPr>
    </w:p>
    <w:p w14:paraId="3F4E6274" w14:textId="1DB169C8" w:rsidR="00F438D4" w:rsidRPr="00B21B7B" w:rsidRDefault="00F438D4" w:rsidP="001361CD">
      <w:pPr>
        <w:pStyle w:val="pCODR1Body"/>
        <w:spacing w:after="0"/>
        <w:ind w:left="360"/>
        <w:rPr>
          <w:rFonts w:ascii="Arial" w:hAnsi="Arial" w:cs="Arial"/>
          <w:sz w:val="18"/>
        </w:rPr>
      </w:pPr>
      <w:r w:rsidRPr="00673649">
        <w:rPr>
          <w:rFonts w:ascii="Arial" w:hAnsi="Arial" w:cs="Arial"/>
          <w:b/>
          <w:sz w:val="18"/>
        </w:rPr>
        <w:t>4.3.</w:t>
      </w:r>
      <w:r w:rsidRPr="00673649">
        <w:rPr>
          <w:rFonts w:ascii="Arial" w:hAnsi="Arial" w:cs="Arial"/>
          <w:sz w:val="18"/>
        </w:rPr>
        <w:t xml:space="preserve"> </w:t>
      </w:r>
      <w:r w:rsidR="00673649" w:rsidRPr="00673649">
        <w:rPr>
          <w:rFonts w:ascii="Arial" w:hAnsi="Arial" w:cs="Arial"/>
          <w:sz w:val="18"/>
        </w:rPr>
        <w:t>In clinical practice, what definition of triple-negative breast cancer is used?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0C7342" w:rsidRPr="00216316" w14:paraId="2596075C" w14:textId="77777777" w:rsidTr="00923B5F">
        <w:tc>
          <w:tcPr>
            <w:tcW w:w="10346" w:type="dxa"/>
          </w:tcPr>
          <w:p w14:paraId="6A85AEF6" w14:textId="77777777" w:rsidR="000C7342" w:rsidRPr="00216316" w:rsidRDefault="000C7342" w:rsidP="00002163">
            <w:pPr>
              <w:pStyle w:val="pCODR01AppendixHeader"/>
            </w:pPr>
          </w:p>
        </w:tc>
      </w:tr>
    </w:tbl>
    <w:p w14:paraId="3FB6D413" w14:textId="77777777" w:rsidR="001E535E" w:rsidRDefault="001E535E">
      <w:pPr>
        <w:rPr>
          <w:rFonts w:ascii="Arial" w:eastAsia="Times New Roman" w:hAnsi="Arial" w:cs="Arial"/>
          <w:b/>
          <w:color w:val="0067B9"/>
          <w:sz w:val="24"/>
          <w:szCs w:val="28"/>
        </w:rPr>
      </w:pPr>
      <w:r>
        <w:rPr>
          <w:b/>
          <w:color w:val="0067B9"/>
          <w:sz w:val="24"/>
          <w:szCs w:val="28"/>
        </w:rPr>
        <w:br w:type="page"/>
      </w:r>
    </w:p>
    <w:p w14:paraId="179EB68B" w14:textId="2175CFE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6F35E8BB" w14:textId="4D0E006B"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518D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024">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024">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6062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024">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876024">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3D202EFB"/>
    <w:multiLevelType w:val="hybridMultilevel"/>
    <w:tmpl w:val="6F5811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6"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9"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3"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FF479D"/>
    <w:multiLevelType w:val="hybridMultilevel"/>
    <w:tmpl w:val="9A02BC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6"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7"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8"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0"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3"/>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5"/>
  </w:num>
  <w:num w:numId="15">
    <w:abstractNumId w:val="45"/>
  </w:num>
  <w:num w:numId="16">
    <w:abstractNumId w:val="29"/>
  </w:num>
  <w:num w:numId="17">
    <w:abstractNumId w:val="33"/>
  </w:num>
  <w:num w:numId="18">
    <w:abstractNumId w:val="50"/>
  </w:num>
  <w:num w:numId="19">
    <w:abstractNumId w:val="31"/>
  </w:num>
  <w:num w:numId="20">
    <w:abstractNumId w:val="11"/>
  </w:num>
  <w:num w:numId="21">
    <w:abstractNumId w:val="9"/>
  </w:num>
  <w:num w:numId="22">
    <w:abstractNumId w:val="30"/>
  </w:num>
  <w:num w:numId="23">
    <w:abstractNumId w:val="48"/>
  </w:num>
  <w:num w:numId="24">
    <w:abstractNumId w:val="16"/>
  </w:num>
  <w:num w:numId="25">
    <w:abstractNumId w:val="27"/>
  </w:num>
  <w:num w:numId="26">
    <w:abstractNumId w:val="39"/>
  </w:num>
  <w:num w:numId="27">
    <w:abstractNumId w:val="21"/>
  </w:num>
  <w:num w:numId="28">
    <w:abstractNumId w:val="26"/>
  </w:num>
  <w:num w:numId="29">
    <w:abstractNumId w:val="18"/>
  </w:num>
  <w:num w:numId="30">
    <w:abstractNumId w:val="46"/>
  </w:num>
  <w:num w:numId="31">
    <w:abstractNumId w:val="41"/>
  </w:num>
  <w:num w:numId="32">
    <w:abstractNumId w:val="49"/>
    <w:lvlOverride w:ilvl="0">
      <w:startOverride w:val="1"/>
    </w:lvlOverride>
  </w:num>
  <w:num w:numId="33">
    <w:abstractNumId w:val="38"/>
    <w:lvlOverride w:ilvl="0">
      <w:startOverride w:val="1"/>
    </w:lvlOverride>
  </w:num>
  <w:num w:numId="34">
    <w:abstractNumId w:val="40"/>
  </w:num>
  <w:num w:numId="35">
    <w:abstractNumId w:val="25"/>
  </w:num>
  <w:num w:numId="36">
    <w:abstractNumId w:val="24"/>
  </w:num>
  <w:num w:numId="37">
    <w:abstractNumId w:val="23"/>
  </w:num>
  <w:num w:numId="38">
    <w:abstractNumId w:val="12"/>
  </w:num>
  <w:num w:numId="39">
    <w:abstractNumId w:val="47"/>
  </w:num>
  <w:num w:numId="40">
    <w:abstractNumId w:val="17"/>
  </w:num>
  <w:num w:numId="41">
    <w:abstractNumId w:val="42"/>
  </w:num>
  <w:num w:numId="42">
    <w:abstractNumId w:val="20"/>
  </w:num>
  <w:num w:numId="43">
    <w:abstractNumId w:val="37"/>
  </w:num>
  <w:num w:numId="44">
    <w:abstractNumId w:val="44"/>
  </w:num>
  <w:num w:numId="45">
    <w:abstractNumId w:val="22"/>
  </w:num>
  <w:num w:numId="46">
    <w:abstractNumId w:val="13"/>
  </w:num>
  <w:num w:numId="47">
    <w:abstractNumId w:val="34"/>
  </w:num>
  <w:num w:numId="48">
    <w:abstractNumId w:val="19"/>
  </w:num>
  <w:num w:numId="49">
    <w:abstractNumId w:val="36"/>
  </w:num>
  <w:num w:numId="50">
    <w:abstractNumId w:val="14"/>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163"/>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C7342"/>
    <w:rsid w:val="000D0D08"/>
    <w:rsid w:val="000D37EC"/>
    <w:rsid w:val="000D3D87"/>
    <w:rsid w:val="000D6D21"/>
    <w:rsid w:val="000D7E08"/>
    <w:rsid w:val="000E4EA1"/>
    <w:rsid w:val="000E625D"/>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1CD"/>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E535E"/>
    <w:rsid w:val="001F134E"/>
    <w:rsid w:val="002030BD"/>
    <w:rsid w:val="002030DC"/>
    <w:rsid w:val="00205435"/>
    <w:rsid w:val="00205657"/>
    <w:rsid w:val="00206B83"/>
    <w:rsid w:val="002117A9"/>
    <w:rsid w:val="002117F4"/>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3E3F"/>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27C"/>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1E15"/>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C6110"/>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49"/>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2F9B"/>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024"/>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B5B65"/>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677BE"/>
    <w:rsid w:val="00970809"/>
    <w:rsid w:val="00970E66"/>
    <w:rsid w:val="0097115A"/>
    <w:rsid w:val="009737CA"/>
    <w:rsid w:val="00983D78"/>
    <w:rsid w:val="00984DB8"/>
    <w:rsid w:val="0098591C"/>
    <w:rsid w:val="00986DF2"/>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1B7B"/>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41B2"/>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1848"/>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23C9"/>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38D4"/>
    <w:rsid w:val="00F47EB2"/>
    <w:rsid w:val="00F50172"/>
    <w:rsid w:val="00F51221"/>
    <w:rsid w:val="00F51ECF"/>
    <w:rsid w:val="00F54E4E"/>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755"/>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002163"/>
    <w:pPr>
      <w:keepNext/>
      <w:pageBreakBefore/>
      <w:shd w:val="clear" w:color="auto" w:fill="FFFFFF"/>
      <w:tabs>
        <w:tab w:val="left" w:pos="-1080"/>
        <w:tab w:val="num" w:pos="426"/>
      </w:tabs>
      <w:overflowPunct w:val="0"/>
      <w:autoSpaceDE w:val="0"/>
      <w:autoSpaceDN w:val="0"/>
      <w:adjustRightInd w:val="0"/>
      <w:spacing w:before="161" w:after="161"/>
      <w:textAlignment w:val="baseline"/>
      <w:outlineLvl w:val="0"/>
    </w:pPr>
    <w:rPr>
      <w:rFonts w:ascii="Arial" w:eastAsia="Times New Roman" w:hAnsi="Arial" w:cs="Arial"/>
      <w:b/>
      <w:spacing w:val="-6"/>
      <w:kern w:val="28"/>
      <w:sz w:val="18"/>
      <w:szCs w:val="18"/>
      <w:lang w:eastAsia="en-CA"/>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002163"/>
    <w:rPr>
      <w:rFonts w:ascii="Arial" w:eastAsia="Times New Roman" w:hAnsi="Arial" w:cs="Arial"/>
      <w:b/>
      <w:spacing w:val="-6"/>
      <w:kern w:val="28"/>
      <w:sz w:val="18"/>
      <w:szCs w:val="18"/>
      <w:shd w:val="clear" w:color="auto" w:fill="FFFFFF"/>
      <w:lang w:val="en-CA" w:eastAsia="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szCs w:val="18"/>
      <w:shd w:val="clear" w:color="auto" w:fill="FFFFFF"/>
      <w:lang w:val="en-CA" w:eastAsia="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shd w:val="clear" w:color="auto" w:fill="FFFFFF"/>
      <w:lang w:val="en-CA" w:eastAsia="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shd w:val="clear" w:color="auto" w:fill="FFFFFF"/>
      <w:lang w:val="en-CA" w:eastAsia="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shd w:val="clear" w:color="auto" w:fill="FFFFFF"/>
      <w:lang w:val="en-CA" w:eastAsia="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shd w:val="clear" w:color="auto" w:fill="FFFFFF"/>
      <w:lang w:val="en-CA" w:eastAsia="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shd w:val="clear" w:color="auto" w:fill="FFFFFF"/>
      <w:lang w:val="en-CA" w:eastAsia="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shd w:val="clear" w:color="auto" w:fill="FFFFFF"/>
      <w:lang w:val="en-CA" w:eastAsia="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shd w:val="clear" w:color="auto" w:fill="FFFFFF"/>
      <w:lang w:val="en-CA" w:eastAsia="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szCs w:val="18"/>
      <w:shd w:val="clear" w:color="auto" w:fill="FFFFFF"/>
      <w:lang w:val="en-CA" w:eastAsia="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szCs w:val="18"/>
      <w:shd w:val="clear" w:color="auto" w:fill="FFFFFF"/>
      <w:lang w:val="en-CA" w:eastAsia="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9957">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86975865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07624461">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5299034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700669131">
      <w:bodyDiv w:val="1"/>
      <w:marLeft w:val="0"/>
      <w:marRight w:val="0"/>
      <w:marTop w:val="0"/>
      <w:marBottom w:val="0"/>
      <w:divBdr>
        <w:top w:val="none" w:sz="0" w:space="0" w:color="auto"/>
        <w:left w:val="none" w:sz="0" w:space="0" w:color="auto"/>
        <w:bottom w:val="none" w:sz="0" w:space="0" w:color="auto"/>
        <w:right w:val="none" w:sz="0" w:space="0" w:color="auto"/>
      </w:divBdr>
    </w:div>
    <w:div w:id="1716461904">
      <w:bodyDiv w:val="1"/>
      <w:marLeft w:val="0"/>
      <w:marRight w:val="0"/>
      <w:marTop w:val="0"/>
      <w:marBottom w:val="0"/>
      <w:divBdr>
        <w:top w:val="none" w:sz="0" w:space="0" w:color="auto"/>
        <w:left w:val="none" w:sz="0" w:space="0" w:color="auto"/>
        <w:bottom w:val="none" w:sz="0" w:space="0" w:color="auto"/>
        <w:right w:val="none" w:sz="0" w:space="0" w:color="auto"/>
      </w:divBdr>
    </w:div>
    <w:div w:id="1751585265">
      <w:bodyDiv w:val="1"/>
      <w:marLeft w:val="0"/>
      <w:marRight w:val="0"/>
      <w:marTop w:val="0"/>
      <w:marBottom w:val="0"/>
      <w:divBdr>
        <w:top w:val="none" w:sz="0" w:space="0" w:color="auto"/>
        <w:left w:val="none" w:sz="0" w:space="0" w:color="auto"/>
        <w:bottom w:val="none" w:sz="0" w:space="0" w:color="auto"/>
        <w:right w:val="none" w:sz="0" w:space="0" w:color="auto"/>
      </w:divBdr>
    </w:div>
    <w:div w:id="1825005428">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 w:id="1835026963">
      <w:bodyDiv w:val="1"/>
      <w:marLeft w:val="0"/>
      <w:marRight w:val="0"/>
      <w:marTop w:val="0"/>
      <w:marBottom w:val="0"/>
      <w:divBdr>
        <w:top w:val="none" w:sz="0" w:space="0" w:color="auto"/>
        <w:left w:val="none" w:sz="0" w:space="0" w:color="auto"/>
        <w:bottom w:val="none" w:sz="0" w:space="0" w:color="auto"/>
        <w:right w:val="none" w:sz="0" w:space="0" w:color="auto"/>
      </w:divBdr>
    </w:div>
    <w:div w:id="1994215006">
      <w:bodyDiv w:val="1"/>
      <w:marLeft w:val="0"/>
      <w:marRight w:val="0"/>
      <w:marTop w:val="0"/>
      <w:marBottom w:val="0"/>
      <w:divBdr>
        <w:top w:val="none" w:sz="0" w:space="0" w:color="auto"/>
        <w:left w:val="none" w:sz="0" w:space="0" w:color="auto"/>
        <w:bottom w:val="none" w:sz="0" w:space="0" w:color="auto"/>
        <w:right w:val="none" w:sz="0" w:space="0" w:color="auto"/>
      </w:divBdr>
    </w:div>
    <w:div w:id="2095475259">
      <w:bodyDiv w:val="1"/>
      <w:marLeft w:val="0"/>
      <w:marRight w:val="0"/>
      <w:marTop w:val="0"/>
      <w:marBottom w:val="0"/>
      <w:divBdr>
        <w:top w:val="none" w:sz="0" w:space="0" w:color="auto"/>
        <w:left w:val="none" w:sz="0" w:space="0" w:color="auto"/>
        <w:bottom w:val="none" w:sz="0" w:space="0" w:color="auto"/>
        <w:right w:val="none" w:sz="0" w:space="0" w:color="auto"/>
      </w:divBdr>
    </w:div>
    <w:div w:id="2095516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ascopubs.org/doi/full/10.1200/JCO.2014.56.74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cademic.oup.com/annonc/article/29/8/1634/5055519" TargetMode="External"/><Relationship Id="rId2" Type="http://schemas.openxmlformats.org/officeDocument/2006/relationships/numbering" Target="numbering.xml"/><Relationship Id="rId16" Type="http://schemas.openxmlformats.org/officeDocument/2006/relationships/hyperlink" Target="https://www.nccn.org/store/login/login.aspx?ReturnURL=https://www.nccn.org/profession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pdf/10.1056/NEJMoa1809615"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4258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5AE1-8B39-4223-B710-80DDB701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2019-09-04T14:56:00Z</dcterms:modified>
</cp:coreProperties>
</file>