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6988F124"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3A94CED3" w:rsidR="00121EB1" w:rsidRPr="004728ED" w:rsidRDefault="00890A88" w:rsidP="004728ED">
            <w:pPr>
              <w:pStyle w:val="DocumentTitle"/>
              <w:tabs>
                <w:tab w:val="left" w:pos="1074"/>
              </w:tabs>
              <w:spacing w:before="0" w:after="0"/>
              <w:rPr>
                <w:sz w:val="18"/>
                <w:szCs w:val="20"/>
              </w:rPr>
            </w:pPr>
            <w:r w:rsidRPr="004728ED">
              <w:rPr>
                <w:sz w:val="18"/>
                <w:szCs w:val="20"/>
              </w:rPr>
              <w:t>pCODR 101</w:t>
            </w:r>
            <w:r w:rsidR="004728ED" w:rsidRPr="004728ED">
              <w:rPr>
                <w:sz w:val="18"/>
                <w:szCs w:val="20"/>
              </w:rPr>
              <w:t>72</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1079764F" w:rsidR="00F369F8" w:rsidRPr="004728ED" w:rsidRDefault="004728ED" w:rsidP="00216C7C">
            <w:pPr>
              <w:pStyle w:val="DocumentTitle"/>
              <w:tabs>
                <w:tab w:val="left" w:pos="1074"/>
              </w:tabs>
              <w:spacing w:before="0" w:after="0"/>
              <w:rPr>
                <w:sz w:val="18"/>
                <w:szCs w:val="20"/>
              </w:rPr>
            </w:pPr>
            <w:r w:rsidRPr="004728ED">
              <w:rPr>
                <w:sz w:val="18"/>
                <w:szCs w:val="20"/>
              </w:rPr>
              <w:t>Neratinib (Nerlynx)</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5C33A76A" w:rsidR="00F369F8" w:rsidRPr="004728ED" w:rsidRDefault="004728ED" w:rsidP="00EB0EEF">
            <w:pPr>
              <w:pStyle w:val="DocumentTitle"/>
              <w:tabs>
                <w:tab w:val="left" w:pos="1074"/>
              </w:tabs>
              <w:spacing w:before="0" w:after="0"/>
              <w:rPr>
                <w:sz w:val="18"/>
                <w:szCs w:val="20"/>
              </w:rPr>
            </w:pPr>
            <w:r w:rsidRPr="004728ED">
              <w:rPr>
                <w:sz w:val="18"/>
                <w:szCs w:val="20"/>
              </w:rPr>
              <w:t>Early Breast Cancer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5F488CA2" w:rsidR="009F3DA5" w:rsidRPr="004728ED" w:rsidRDefault="006F430C" w:rsidP="004728ED">
            <w:pPr>
              <w:pStyle w:val="DocumentTitle"/>
              <w:tabs>
                <w:tab w:val="left" w:pos="1074"/>
              </w:tabs>
              <w:spacing w:before="0" w:after="0"/>
              <w:rPr>
                <w:sz w:val="18"/>
                <w:szCs w:val="20"/>
              </w:rPr>
            </w:pPr>
            <w:r>
              <w:rPr>
                <w:sz w:val="18"/>
                <w:szCs w:val="20"/>
              </w:rPr>
              <w:t>F</w:t>
            </w:r>
            <w:r w:rsidRPr="006F430C">
              <w:rPr>
                <w:sz w:val="18"/>
                <w:szCs w:val="20"/>
              </w:rPr>
              <w:t>or patients with HER2-positive, hormone receptor-positive breast (HR-positive) cancer who have completed adjuvant trastuzumab-based therapy within the past 12 months.</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596E7088" w14:textId="77777777" w:rsidR="004728ED" w:rsidRPr="004728ED" w:rsidRDefault="004728ED" w:rsidP="00890A88">
            <w:pPr>
              <w:pStyle w:val="DocumentTitle"/>
              <w:numPr>
                <w:ilvl w:val="0"/>
                <w:numId w:val="44"/>
              </w:numPr>
              <w:tabs>
                <w:tab w:val="left" w:pos="1074"/>
              </w:tabs>
              <w:spacing w:before="0" w:after="0"/>
              <w:rPr>
                <w:color w:val="000000"/>
                <w:sz w:val="18"/>
                <w:szCs w:val="18"/>
                <w:shd w:val="clear" w:color="auto" w:fill="FFFFFF"/>
              </w:rPr>
            </w:pPr>
            <w:r w:rsidRPr="004728ED">
              <w:rPr>
                <w:color w:val="000000"/>
                <w:sz w:val="18"/>
                <w:szCs w:val="18"/>
                <w:shd w:val="clear" w:color="auto" w:fill="FFFFFF"/>
              </w:rPr>
              <w:t>ExteNET (</w:t>
            </w:r>
            <w:hyperlink r:id="rId14" w:tgtFrame="_blank" w:history="1">
              <w:r w:rsidRPr="004728ED">
                <w:rPr>
                  <w:rStyle w:val="Hyperlink"/>
                  <w:sz w:val="18"/>
                  <w:szCs w:val="18"/>
                  <w:bdr w:val="none" w:sz="0" w:space="0" w:color="auto" w:frame="1"/>
                  <w:shd w:val="clear" w:color="auto" w:fill="FFFFFF"/>
                </w:rPr>
                <w:t>NCT00878709</w:t>
              </w:r>
            </w:hyperlink>
            <w:r w:rsidRPr="004728ED">
              <w:rPr>
                <w:color w:val="000000"/>
                <w:sz w:val="18"/>
                <w:szCs w:val="18"/>
                <w:shd w:val="clear" w:color="auto" w:fill="FFFFFF"/>
              </w:rPr>
              <w:t>)</w:t>
            </w:r>
          </w:p>
          <w:p w14:paraId="52AF8FBD" w14:textId="6F35B6B6" w:rsidR="00CC380E" w:rsidRPr="004728ED" w:rsidRDefault="006F430C" w:rsidP="004728ED">
            <w:pPr>
              <w:pStyle w:val="DocumentTitle"/>
              <w:numPr>
                <w:ilvl w:val="0"/>
                <w:numId w:val="44"/>
              </w:numPr>
              <w:tabs>
                <w:tab w:val="left" w:pos="1074"/>
              </w:tabs>
              <w:spacing w:before="0" w:after="0"/>
              <w:rPr>
                <w:color w:val="000000"/>
                <w:sz w:val="18"/>
                <w:szCs w:val="18"/>
                <w:shd w:val="clear" w:color="auto" w:fill="FFFFFF"/>
              </w:rPr>
            </w:pPr>
            <w:hyperlink r:id="rId15" w:tgtFrame="_blank" w:history="1">
              <w:r w:rsidR="004728ED" w:rsidRPr="004728ED">
                <w:rPr>
                  <w:rStyle w:val="Hyperlink"/>
                  <w:sz w:val="18"/>
                  <w:szCs w:val="18"/>
                  <w:bdr w:val="none" w:sz="0" w:space="0" w:color="auto" w:frame="1"/>
                  <w:shd w:val="clear" w:color="auto" w:fill="FFFFFF"/>
                </w:rPr>
                <w:t>Chan et al, Lancel Oncol March 2016</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7CDFECF7"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2FDB850B" w:rsidR="00275E1C" w:rsidRPr="004728ED" w:rsidRDefault="00890A88" w:rsidP="00890A88">
            <w:pPr>
              <w:pStyle w:val="DocumentTitle"/>
              <w:tabs>
                <w:tab w:val="left" w:pos="1074"/>
              </w:tabs>
              <w:spacing w:before="0" w:after="0"/>
              <w:rPr>
                <w:color w:val="C00000"/>
                <w:sz w:val="18"/>
                <w:szCs w:val="20"/>
                <w:highlight w:val="yellow"/>
              </w:rPr>
            </w:pPr>
            <w:r w:rsidRPr="004728ED">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712350E9" w14:textId="55321062" w:rsidR="00890A88" w:rsidRPr="004728ED" w:rsidRDefault="004728ED" w:rsidP="00890A88">
            <w:pPr>
              <w:pStyle w:val="DocumentTitle"/>
              <w:tabs>
                <w:tab w:val="left" w:pos="1074"/>
              </w:tabs>
              <w:spacing w:before="0" w:after="0"/>
              <w:rPr>
                <w:sz w:val="18"/>
                <w:szCs w:val="20"/>
                <w:highlight w:val="yellow"/>
              </w:rPr>
            </w:pPr>
            <w:r w:rsidRPr="004728ED">
              <w:rPr>
                <w:sz w:val="18"/>
                <w:szCs w:val="20"/>
              </w:rPr>
              <w:t>July 17, 2017</w:t>
            </w:r>
            <w:r w:rsidRPr="004728ED">
              <w:rPr>
                <w:sz w:val="18"/>
                <w:szCs w:val="20"/>
                <w:highlight w:val="yellow"/>
              </w:rPr>
              <w:t xml:space="preserve"> </w:t>
            </w:r>
          </w:p>
          <w:p w14:paraId="72E3E783" w14:textId="77777777" w:rsidR="00890A88" w:rsidRPr="004728ED" w:rsidRDefault="00890A88" w:rsidP="00890A88">
            <w:pPr>
              <w:pStyle w:val="DocumentTitle"/>
              <w:tabs>
                <w:tab w:val="left" w:pos="1074"/>
              </w:tabs>
              <w:spacing w:before="0" w:after="0"/>
              <w:rPr>
                <w:sz w:val="18"/>
                <w:szCs w:val="20"/>
                <w:highlight w:val="yellow"/>
              </w:rPr>
            </w:pPr>
          </w:p>
          <w:p w14:paraId="2EE07483" w14:textId="4BA330D6" w:rsidR="00275E1C" w:rsidRPr="004728ED" w:rsidRDefault="006F430C" w:rsidP="00890A88">
            <w:pPr>
              <w:pStyle w:val="DocumentTitle"/>
              <w:tabs>
                <w:tab w:val="left" w:pos="1074"/>
              </w:tabs>
              <w:spacing w:before="0" w:after="0"/>
              <w:rPr>
                <w:sz w:val="18"/>
                <w:szCs w:val="20"/>
                <w:highlight w:val="yellow"/>
              </w:rPr>
            </w:pPr>
            <w:hyperlink r:id="rId16" w:history="1">
              <w:r w:rsidR="004728ED" w:rsidRPr="004728ED">
                <w:rPr>
                  <w:rStyle w:val="Hyperlink"/>
                  <w:sz w:val="18"/>
                  <w:szCs w:val="20"/>
                </w:rPr>
                <w:t>for the extended adjuvant treatment of adult patients with early stage HER2-overexpressed/amplified breast cancer, to follow adjuvant trastuzumab-based therapy.</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310180D8" w14:textId="0C18EF00" w:rsidR="00F369F8" w:rsidRPr="004728ED" w:rsidRDefault="00993315" w:rsidP="006431C5">
            <w:pPr>
              <w:pStyle w:val="DocumentTitle"/>
              <w:tabs>
                <w:tab w:val="left" w:pos="1074"/>
              </w:tabs>
              <w:spacing w:before="0" w:after="0"/>
              <w:rPr>
                <w:sz w:val="18"/>
                <w:szCs w:val="18"/>
              </w:rPr>
            </w:pPr>
            <w:r>
              <w:rPr>
                <w:sz w:val="18"/>
                <w:szCs w:val="18"/>
              </w:rPr>
              <w:t>September 12,</w:t>
            </w:r>
            <w:r w:rsidR="004728ED" w:rsidRPr="004728ED">
              <w:rPr>
                <w:sz w:val="18"/>
                <w:szCs w:val="18"/>
              </w:rPr>
              <w:t xml:space="preserve"> 2018</w:t>
            </w:r>
          </w:p>
          <w:p w14:paraId="4382D7E4" w14:textId="5974B51A" w:rsidR="004728ED" w:rsidRPr="004728ED" w:rsidRDefault="006F430C" w:rsidP="004728ED">
            <w:pPr>
              <w:pStyle w:val="DocumentTitle"/>
              <w:tabs>
                <w:tab w:val="left" w:pos="1074"/>
              </w:tabs>
              <w:spacing w:after="0"/>
              <w:rPr>
                <w:color w:val="C00000"/>
                <w:sz w:val="18"/>
                <w:szCs w:val="18"/>
              </w:rPr>
            </w:pPr>
            <w:hyperlink r:id="rId17" w:history="1">
              <w:r w:rsidR="004728ED" w:rsidRPr="004728ED">
                <w:rPr>
                  <w:rStyle w:val="Hyperlink"/>
                  <w:sz w:val="18"/>
                  <w:szCs w:val="18"/>
                </w:rPr>
                <w:t>for the extended adjuvant treatment of adult patients with early-stage hormone receptor positive HER2-overexpressed/amplified breast cancer and who are less than one year from the completion of prior adjuvant trastuzumab based therapy.</w:t>
              </w:r>
            </w:hyperlink>
            <w:r w:rsidR="004728ED" w:rsidRPr="004728ED">
              <w:rPr>
                <w:sz w:val="18"/>
                <w:szCs w:val="18"/>
              </w:rPr>
              <w:t xml:space="preserve"> </w:t>
            </w: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35526D9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2B988D4C" w14:textId="3AD9BF5E" w:rsidR="006431C5" w:rsidRPr="00993315" w:rsidRDefault="006F430C" w:rsidP="00993315">
            <w:pPr>
              <w:pStyle w:val="DocumentTitle"/>
              <w:tabs>
                <w:tab w:val="left" w:pos="1074"/>
              </w:tabs>
              <w:spacing w:before="0" w:after="0"/>
              <w:rPr>
                <w:sz w:val="18"/>
                <w:szCs w:val="20"/>
              </w:rPr>
            </w:pPr>
            <w:hyperlink r:id="rId18" w:history="1">
              <w:r w:rsidR="00993315" w:rsidRPr="00993315">
                <w:rPr>
                  <w:rStyle w:val="Hyperlink"/>
                  <w:sz w:val="18"/>
                  <w:szCs w:val="20"/>
                </w:rPr>
                <w:t>NCCN Breast Cancer Guidelines.</w:t>
              </w:r>
            </w:hyperlink>
          </w:p>
          <w:p w14:paraId="7B036D59" w14:textId="77777777" w:rsidR="006431C5" w:rsidRPr="00993315" w:rsidRDefault="006431C5" w:rsidP="00993315">
            <w:pPr>
              <w:pStyle w:val="DocumentTitle"/>
              <w:tabs>
                <w:tab w:val="left" w:pos="1074"/>
              </w:tabs>
              <w:spacing w:before="0" w:after="0"/>
              <w:rPr>
                <w:sz w:val="18"/>
                <w:szCs w:val="20"/>
              </w:rPr>
            </w:pPr>
          </w:p>
          <w:p w14:paraId="1AEE9597" w14:textId="31D36AB5" w:rsidR="0013642F" w:rsidRPr="00993315" w:rsidRDefault="00993315" w:rsidP="00993315">
            <w:pPr>
              <w:pStyle w:val="DocumentTitle"/>
              <w:tabs>
                <w:tab w:val="left" w:pos="1074"/>
              </w:tabs>
              <w:spacing w:before="0" w:after="0"/>
              <w:rPr>
                <w:sz w:val="18"/>
                <w:szCs w:val="18"/>
              </w:rPr>
            </w:pPr>
            <w:r w:rsidRPr="00993315">
              <w:rPr>
                <w:sz w:val="18"/>
                <w:szCs w:val="18"/>
                <w:lang w:val="fr-CA"/>
              </w:rPr>
              <w:t>Systemic Therapy for Patients With Advanced Human Epidermal Growth Factor Receptor 2–Positive Breast Cancer</w:t>
            </w:r>
            <w:r w:rsidRPr="00993315">
              <w:rPr>
                <w:sz w:val="18"/>
                <w:szCs w:val="18"/>
              </w:rPr>
              <w:t xml:space="preserve">. </w:t>
            </w:r>
            <w:hyperlink r:id="rId19" w:anchor="/9786" w:history="1">
              <w:r>
                <w:rPr>
                  <w:rStyle w:val="Hyperlink"/>
                  <w:sz w:val="18"/>
                  <w:szCs w:val="18"/>
                </w:rPr>
                <w:t>DOI:</w:t>
              </w:r>
              <w:r w:rsidRPr="00993315">
                <w:rPr>
                  <w:rStyle w:val="Hyperlink"/>
                  <w:sz w:val="18"/>
                  <w:szCs w:val="18"/>
                </w:rPr>
                <w:t>10.1200/JCO.2018.79.2697</w:t>
              </w:r>
            </w:hyperlink>
          </w:p>
          <w:p w14:paraId="668799DB" w14:textId="77777777" w:rsidR="0013642F" w:rsidRPr="00993315" w:rsidRDefault="0013642F" w:rsidP="00993315">
            <w:pPr>
              <w:pStyle w:val="DocumentTitle"/>
              <w:tabs>
                <w:tab w:val="left" w:pos="1074"/>
              </w:tabs>
              <w:spacing w:before="0" w:after="0"/>
              <w:rPr>
                <w:sz w:val="18"/>
                <w:szCs w:val="20"/>
              </w:rPr>
            </w:pPr>
          </w:p>
          <w:p w14:paraId="17E99E46" w14:textId="5852AA75" w:rsidR="0013642F" w:rsidRPr="004728ED" w:rsidRDefault="00993315" w:rsidP="00993315">
            <w:pPr>
              <w:pStyle w:val="DocumentTitle"/>
              <w:tabs>
                <w:tab w:val="left" w:pos="1074"/>
              </w:tabs>
              <w:spacing w:before="0" w:after="0"/>
              <w:rPr>
                <w:sz w:val="18"/>
                <w:szCs w:val="18"/>
                <w:highlight w:val="yellow"/>
              </w:rPr>
            </w:pPr>
            <w:r w:rsidRPr="00993315">
              <w:rPr>
                <w:sz w:val="18"/>
                <w:szCs w:val="18"/>
              </w:rPr>
              <w:t xml:space="preserve">Primary Breast Cancer: ESMO Clinical Practice Guidelines. </w:t>
            </w:r>
            <w:hyperlink r:id="rId20" w:history="1">
              <w:r w:rsidRPr="00993315">
                <w:rPr>
                  <w:rStyle w:val="Hyperlink"/>
                  <w:sz w:val="18"/>
                  <w:szCs w:val="18"/>
                </w:rPr>
                <w:t>Ann Oncol (2015) 26 (suppl 5): v8-v30.</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3F95B955" w14:textId="6EB2E42F" w:rsidR="0013642F" w:rsidRPr="00216316" w:rsidRDefault="004728ED" w:rsidP="0013642F">
            <w:pPr>
              <w:pStyle w:val="DocumentTitle"/>
              <w:tabs>
                <w:tab w:val="left" w:pos="1074"/>
              </w:tabs>
              <w:spacing w:before="0" w:after="0"/>
              <w:rPr>
                <w:sz w:val="18"/>
                <w:szCs w:val="20"/>
              </w:rPr>
            </w:pPr>
            <w:r w:rsidRPr="00216316">
              <w:rPr>
                <w:sz w:val="18"/>
                <w:szCs w:val="20"/>
              </w:rPr>
              <w:t xml:space="preserve">PAG identified that for hormone receptor-positive, ERBB2-positive breast cancer who have completed adjuvant trastuzumab-based therapy within the past 12 months, patients are followed for monitoring in most jurisdictions. </w:t>
            </w:r>
          </w:p>
          <w:p w14:paraId="5FE8D862" w14:textId="77777777" w:rsidR="004728ED" w:rsidRPr="00216316" w:rsidRDefault="004728ED" w:rsidP="0013642F">
            <w:pPr>
              <w:pStyle w:val="DocumentTitle"/>
              <w:tabs>
                <w:tab w:val="left" w:pos="1074"/>
              </w:tabs>
              <w:spacing w:before="0" w:after="0"/>
              <w:rPr>
                <w:sz w:val="18"/>
                <w:szCs w:val="20"/>
                <w:highlight w:val="yellow"/>
              </w:rPr>
            </w:pPr>
          </w:p>
          <w:p w14:paraId="09ECBE82" w14:textId="5A163310" w:rsidR="00420EEA" w:rsidRPr="004728ED" w:rsidRDefault="0013642F" w:rsidP="0013642F">
            <w:pPr>
              <w:pStyle w:val="DocumentTitle"/>
              <w:tabs>
                <w:tab w:val="left" w:pos="1074"/>
              </w:tabs>
              <w:spacing w:before="0" w:after="0"/>
              <w:rPr>
                <w:color w:val="C00000"/>
                <w:sz w:val="18"/>
                <w:szCs w:val="20"/>
                <w:highlight w:val="yellow"/>
              </w:rPr>
            </w:pPr>
            <w:r w:rsidRPr="00216316">
              <w:rPr>
                <w:sz w:val="18"/>
                <w:szCs w:val="18"/>
              </w:rPr>
              <w:t>See Appendix B – Provincial Funding of Treatments for Metastatic Breast Cancer</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6F430C"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6"/>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7"/>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11FA618D" w14:textId="500D8AF6" w:rsidR="004728ED" w:rsidRPr="00216316" w:rsidRDefault="0013642F" w:rsidP="004728ED">
      <w:pPr>
        <w:pStyle w:val="pCODR1Body"/>
        <w:spacing w:after="0"/>
        <w:ind w:left="360"/>
        <w:rPr>
          <w:rFonts w:ascii="Arial" w:hAnsi="Arial" w:cs="Arial"/>
          <w:sz w:val="18"/>
        </w:rPr>
      </w:pPr>
      <w:r w:rsidRPr="00216316">
        <w:rPr>
          <w:rFonts w:ascii="Arial" w:hAnsi="Arial" w:cs="Arial"/>
          <w:b/>
          <w:sz w:val="18"/>
        </w:rPr>
        <w:t xml:space="preserve">4.1. </w:t>
      </w:r>
      <w:r w:rsidR="004728ED" w:rsidRPr="00216316">
        <w:rPr>
          <w:rFonts w:ascii="Arial" w:hAnsi="Arial" w:cs="Arial"/>
          <w:sz w:val="18"/>
        </w:rPr>
        <w:t>In regards to question 3.2 above, the eligibility criteria for the ExteNET trial included a specific patient population compared to the broader funding request. In clinical practice, is there evidence to extend the use of adjuvant neratinib to (provided all other eligibility criteria are met):</w:t>
      </w:r>
    </w:p>
    <w:p w14:paraId="50BEFB1F" w14:textId="581CF3A4" w:rsidR="004728ED" w:rsidRPr="00216316" w:rsidRDefault="004728ED" w:rsidP="004728ED">
      <w:pPr>
        <w:pStyle w:val="pCODR1Body"/>
        <w:spacing w:after="0"/>
        <w:ind w:left="720"/>
        <w:rPr>
          <w:rFonts w:ascii="Arial" w:hAnsi="Arial" w:cs="Arial"/>
          <w:sz w:val="18"/>
        </w:rPr>
      </w:pPr>
      <w:r w:rsidRPr="00216316">
        <w:rPr>
          <w:rFonts w:ascii="Arial" w:hAnsi="Arial" w:cs="Arial"/>
          <w:b/>
          <w:sz w:val="18"/>
        </w:rPr>
        <w:t>4.1.1.</w:t>
      </w:r>
      <w:r w:rsidRPr="00216316">
        <w:rPr>
          <w:rFonts w:ascii="Arial" w:hAnsi="Arial" w:cs="Arial"/>
          <w:sz w:val="18"/>
        </w:rPr>
        <w:t xml:space="preserve"> Patients with node-negative disease?</w:t>
      </w:r>
    </w:p>
    <w:p w14:paraId="5552ECB6" w14:textId="4414CE92" w:rsidR="004728ED" w:rsidRPr="00216316" w:rsidRDefault="004728ED" w:rsidP="004728ED">
      <w:pPr>
        <w:pStyle w:val="pCODR1Body"/>
        <w:spacing w:after="0"/>
        <w:ind w:left="720"/>
        <w:rPr>
          <w:rFonts w:ascii="Arial" w:hAnsi="Arial" w:cs="Arial"/>
          <w:sz w:val="18"/>
        </w:rPr>
      </w:pPr>
      <w:r w:rsidRPr="00216316">
        <w:rPr>
          <w:rFonts w:ascii="Arial" w:hAnsi="Arial" w:cs="Arial"/>
          <w:b/>
          <w:sz w:val="18"/>
        </w:rPr>
        <w:t>4.1.2.</w:t>
      </w:r>
      <w:r w:rsidRPr="00216316">
        <w:rPr>
          <w:rFonts w:ascii="Arial" w:hAnsi="Arial" w:cs="Arial"/>
          <w:sz w:val="18"/>
        </w:rPr>
        <w:t xml:space="preserve"> Patients with stage I breast cancer that received adjuvant trastuzumab?</w:t>
      </w:r>
    </w:p>
    <w:p w14:paraId="694FE625" w14:textId="4C89C853" w:rsidR="004728ED" w:rsidRPr="00216316" w:rsidRDefault="004728ED" w:rsidP="004728ED">
      <w:pPr>
        <w:pStyle w:val="pCODR1Body"/>
        <w:spacing w:after="0"/>
        <w:ind w:left="720"/>
        <w:rPr>
          <w:rFonts w:ascii="Arial" w:hAnsi="Arial" w:cs="Arial"/>
          <w:sz w:val="18"/>
        </w:rPr>
      </w:pPr>
      <w:r w:rsidRPr="00216316">
        <w:rPr>
          <w:rFonts w:ascii="Arial" w:hAnsi="Arial" w:cs="Arial"/>
          <w:b/>
          <w:sz w:val="18"/>
        </w:rPr>
        <w:t>4.1.3.</w:t>
      </w:r>
      <w:r w:rsidRPr="00216316">
        <w:rPr>
          <w:rFonts w:ascii="Arial" w:hAnsi="Arial" w:cs="Arial"/>
          <w:sz w:val="18"/>
        </w:rPr>
        <w:t xml:space="preserve"> Patients with small tumours less than 1 cm?</w:t>
      </w:r>
      <w:bookmarkStart w:id="8" w:name="_GoBack"/>
      <w:bookmarkEnd w:id="8"/>
    </w:p>
    <w:p w14:paraId="393D0617" w14:textId="09FFAE86" w:rsidR="004728ED" w:rsidRPr="00216316" w:rsidRDefault="004728ED" w:rsidP="004728ED">
      <w:pPr>
        <w:pStyle w:val="pCODR1Body"/>
        <w:spacing w:after="0"/>
        <w:ind w:left="720"/>
        <w:rPr>
          <w:rFonts w:ascii="Arial" w:hAnsi="Arial" w:cs="Arial"/>
          <w:sz w:val="18"/>
        </w:rPr>
      </w:pPr>
      <w:r w:rsidRPr="00216316">
        <w:rPr>
          <w:rFonts w:ascii="Arial" w:hAnsi="Arial" w:cs="Arial"/>
          <w:b/>
          <w:sz w:val="18"/>
        </w:rPr>
        <w:t>4.1.4.</w:t>
      </w:r>
      <w:r w:rsidRPr="00216316">
        <w:rPr>
          <w:rFonts w:ascii="Arial" w:hAnsi="Arial" w:cs="Arial"/>
          <w:sz w:val="18"/>
        </w:rPr>
        <w:t xml:space="preserve"> Patients disease-free up to 2 years after completion of trastuzumab (as the funding request is within the past 12 months)? Is there a group of patients that may have a time-limited need?</w:t>
      </w:r>
    </w:p>
    <w:p w14:paraId="00F966F4" w14:textId="3A367C1D" w:rsidR="00B44453" w:rsidRPr="00216316" w:rsidRDefault="004728ED" w:rsidP="004728ED">
      <w:pPr>
        <w:pStyle w:val="pCODR1Body"/>
        <w:spacing w:after="0"/>
        <w:ind w:left="720"/>
        <w:rPr>
          <w:rFonts w:ascii="Arial" w:hAnsi="Arial" w:cs="Arial"/>
          <w:sz w:val="18"/>
        </w:rPr>
      </w:pPr>
      <w:r w:rsidRPr="00216316">
        <w:rPr>
          <w:rFonts w:ascii="Arial" w:hAnsi="Arial" w:cs="Arial"/>
          <w:b/>
          <w:sz w:val="18"/>
        </w:rPr>
        <w:t>4.1.5.</w:t>
      </w:r>
      <w:r w:rsidRPr="00216316">
        <w:rPr>
          <w:rFonts w:ascii="Arial" w:hAnsi="Arial" w:cs="Arial"/>
          <w:sz w:val="18"/>
        </w:rPr>
        <w:t xml:space="preserve"> Patients who received pertuzumab or trastuzumab in the neoadjuvant/adjuvant therapy?</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216316" w:rsidRPr="00216316" w14:paraId="5247003C" w14:textId="77777777" w:rsidTr="000028EA">
        <w:tc>
          <w:tcPr>
            <w:tcW w:w="10346" w:type="dxa"/>
          </w:tcPr>
          <w:p w14:paraId="263B76BD" w14:textId="77777777" w:rsidR="000028EA" w:rsidRPr="00216316" w:rsidRDefault="000028EA" w:rsidP="00216316">
            <w:pPr>
              <w:pStyle w:val="pCODR01AppendixHeader"/>
              <w:spacing w:before="0" w:after="0"/>
              <w:rPr>
                <w:rFonts w:ascii="Arial" w:hAnsi="Arial" w:cs="Arial"/>
                <w:spacing w:val="0"/>
              </w:rPr>
            </w:pPr>
            <w:bookmarkStart w:id="9" w:name="_Appendix_A:_pCODR"/>
            <w:bookmarkStart w:id="10" w:name="_Toc439923603"/>
            <w:bookmarkEnd w:id="9"/>
          </w:p>
        </w:tc>
      </w:tr>
    </w:tbl>
    <w:p w14:paraId="14D40FD7" w14:textId="77777777" w:rsidR="004728ED" w:rsidRPr="00216316" w:rsidRDefault="004728ED" w:rsidP="00216316">
      <w:pPr>
        <w:autoSpaceDE w:val="0"/>
        <w:autoSpaceDN w:val="0"/>
        <w:adjustRightInd w:val="0"/>
        <w:spacing w:after="0"/>
        <w:rPr>
          <w:rFonts w:ascii="Arial" w:hAnsi="Arial" w:cs="Arial"/>
          <w:b/>
          <w:sz w:val="18"/>
        </w:rPr>
      </w:pPr>
    </w:p>
    <w:p w14:paraId="542C09C3" w14:textId="7C2342D8" w:rsidR="004728ED" w:rsidRPr="00216316" w:rsidRDefault="004728ED" w:rsidP="004728ED">
      <w:pPr>
        <w:pStyle w:val="ListParagraph"/>
        <w:autoSpaceDE w:val="0"/>
        <w:autoSpaceDN w:val="0"/>
        <w:adjustRightInd w:val="0"/>
        <w:spacing w:after="0"/>
        <w:ind w:left="390"/>
        <w:rPr>
          <w:rFonts w:ascii="Arial" w:hAnsi="Arial" w:cs="Arial"/>
          <w:sz w:val="18"/>
        </w:rPr>
      </w:pPr>
      <w:r w:rsidRPr="00216316">
        <w:rPr>
          <w:rFonts w:ascii="Arial" w:hAnsi="Arial" w:cs="Arial"/>
          <w:b/>
          <w:sz w:val="18"/>
        </w:rPr>
        <w:t xml:space="preserve">4.3. </w:t>
      </w:r>
      <w:r w:rsidRPr="00216316">
        <w:rPr>
          <w:rFonts w:ascii="Arial" w:hAnsi="Arial" w:cs="Arial"/>
          <w:sz w:val="18"/>
        </w:rPr>
        <w:t>In regards to question 3.4 above, please consider the optimal sequencing of treatment for patients with hormone-receptor positive, ERBB2-positive breast cancer. In clinical practice, if neratinib was available,</w:t>
      </w:r>
    </w:p>
    <w:p w14:paraId="0F3C3529" w14:textId="586F5119" w:rsidR="004728ED" w:rsidRPr="00216316" w:rsidRDefault="004728ED" w:rsidP="004728ED">
      <w:pPr>
        <w:pStyle w:val="ListParagraph"/>
        <w:autoSpaceDE w:val="0"/>
        <w:autoSpaceDN w:val="0"/>
        <w:adjustRightInd w:val="0"/>
        <w:spacing w:after="0"/>
        <w:rPr>
          <w:rFonts w:ascii="Arial" w:hAnsi="Arial" w:cs="Arial"/>
          <w:sz w:val="18"/>
        </w:rPr>
      </w:pPr>
      <w:r w:rsidRPr="00216316">
        <w:rPr>
          <w:rFonts w:ascii="Arial" w:hAnsi="Arial" w:cs="Arial"/>
          <w:b/>
          <w:sz w:val="18"/>
        </w:rPr>
        <w:t>4.2.1.</w:t>
      </w:r>
      <w:r w:rsidRPr="00216316">
        <w:rPr>
          <w:rFonts w:ascii="Arial" w:hAnsi="Arial" w:cs="Arial"/>
          <w:sz w:val="18"/>
        </w:rPr>
        <w:t xml:space="preserve"> What treatment options would be available to patients upon progression of neratinib (e.g., treatment including trastuzumab, pertuzumab, and taxane)? What would be the appropriate timeframe following completion of adjuvant neratinib therapy (e.g., minimum disease free interval, time from last dose of neratinib adjuvant therapy)?</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728ED" w14:paraId="30F7285C" w14:textId="77777777" w:rsidTr="00265330">
        <w:tc>
          <w:tcPr>
            <w:tcW w:w="10346" w:type="dxa"/>
          </w:tcPr>
          <w:p w14:paraId="13D01660" w14:textId="77777777" w:rsidR="004728ED" w:rsidRDefault="004728ED" w:rsidP="00216316">
            <w:pPr>
              <w:pStyle w:val="pCODR01AppendixHeader"/>
              <w:spacing w:before="0" w:after="0"/>
              <w:rPr>
                <w:rFonts w:ascii="Arial" w:hAnsi="Arial" w:cs="Arial"/>
                <w:spacing w:val="0"/>
              </w:rPr>
            </w:pPr>
          </w:p>
        </w:tc>
      </w:tr>
    </w:tbl>
    <w:p w14:paraId="68044900" w14:textId="77777777" w:rsidR="004728ED" w:rsidRDefault="004728ED" w:rsidP="004728ED">
      <w:pPr>
        <w:pStyle w:val="ListParagraph"/>
        <w:autoSpaceDE w:val="0"/>
        <w:autoSpaceDN w:val="0"/>
        <w:adjustRightInd w:val="0"/>
        <w:spacing w:after="0"/>
        <w:ind w:left="390"/>
        <w:rPr>
          <w:rFonts w:ascii="Arial" w:hAnsi="Arial" w:cs="Arial"/>
          <w:b/>
          <w:color w:val="FF0000"/>
          <w:sz w:val="18"/>
        </w:rPr>
      </w:pPr>
    </w:p>
    <w:p w14:paraId="179EB68B" w14:textId="6EB881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10"/>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23C8F399" w:rsidR="0013642F" w:rsidRDefault="0013642F">
      <w:pPr>
        <w:rPr>
          <w:rFonts w:ascii="Arial" w:hAnsi="Arial" w:cs="Arial"/>
          <w:sz w:val="18"/>
          <w:szCs w:val="18"/>
        </w:rPr>
      </w:pPr>
      <w:r>
        <w:rPr>
          <w:rFonts w:ascii="Arial" w:hAnsi="Arial" w:cs="Arial"/>
          <w:sz w:val="18"/>
          <w:szCs w:val="18"/>
        </w:rPr>
        <w:br w:type="page"/>
      </w:r>
    </w:p>
    <w:p w14:paraId="35952D98" w14:textId="1F9D9ECC" w:rsidR="0013642F" w:rsidRPr="004728ED" w:rsidRDefault="0013642F" w:rsidP="0013642F">
      <w:pPr>
        <w:pStyle w:val="pCODR01AppendixHeader"/>
      </w:pPr>
      <w:r w:rsidRPr="004728ED">
        <w:lastRenderedPageBreak/>
        <w:t xml:space="preserve">Appendix B: Provincial Funding of Treatments for </w:t>
      </w:r>
      <w:r w:rsidRPr="004728ED">
        <w:rPr>
          <w:szCs w:val="28"/>
        </w:rPr>
        <w:t>Metastatic Breast Cancer</w:t>
      </w:r>
    </w:p>
    <w:p w14:paraId="3702DF29" w14:textId="3F5C28FE" w:rsidR="0013642F" w:rsidRPr="004728ED" w:rsidRDefault="0013642F" w:rsidP="0013642F">
      <w:pPr>
        <w:pStyle w:val="pCODR01AppendixHeader"/>
        <w:rPr>
          <w:b w:val="0"/>
          <w:sz w:val="22"/>
          <w:szCs w:val="22"/>
        </w:rPr>
      </w:pPr>
      <w:r w:rsidRPr="00216316">
        <w:rPr>
          <w:b w:val="0"/>
          <w:sz w:val="22"/>
          <w:szCs w:val="22"/>
        </w:rPr>
        <w:t xml:space="preserve">As of </w:t>
      </w:r>
      <w:r w:rsidR="00216316" w:rsidRPr="00216316">
        <w:rPr>
          <w:b w:val="0"/>
          <w:sz w:val="22"/>
          <w:szCs w:val="22"/>
        </w:rPr>
        <w:t>October 5</w:t>
      </w:r>
      <w:r w:rsidRPr="00216316">
        <w:rPr>
          <w:b w:val="0"/>
          <w:sz w:val="22"/>
          <w:szCs w:val="22"/>
        </w:rPr>
        <w:t>, 2018</w:t>
      </w:r>
    </w:p>
    <w:p w14:paraId="54D00915" w14:textId="77777777" w:rsidR="0013642F" w:rsidRPr="004728ED" w:rsidRDefault="0013642F" w:rsidP="0013642F">
      <w:pPr>
        <w:pStyle w:val="pCODR01AppendixHeader"/>
        <w:rPr>
          <w:b w:val="0"/>
          <w:sz w:val="22"/>
          <w:szCs w:val="22"/>
        </w:rPr>
      </w:pPr>
      <w:r w:rsidRPr="004728ED">
        <w:rPr>
          <w:b w:val="0"/>
          <w:sz w:val="22"/>
          <w:szCs w:val="22"/>
        </w:rPr>
        <w:t>NOTE: All drugs subjected to eligibility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690"/>
        <w:gridCol w:w="1420"/>
        <w:gridCol w:w="1473"/>
        <w:gridCol w:w="1499"/>
        <w:gridCol w:w="1419"/>
        <w:gridCol w:w="1428"/>
        <w:gridCol w:w="1415"/>
        <w:gridCol w:w="1424"/>
      </w:tblGrid>
      <w:tr w:rsidR="0013642F" w:rsidRPr="004728ED" w14:paraId="2F3B557A" w14:textId="77777777" w:rsidTr="00AA7C3F">
        <w:trPr>
          <w:trHeight w:val="198"/>
        </w:trPr>
        <w:tc>
          <w:tcPr>
            <w:tcW w:w="320" w:type="pct"/>
            <w:shd w:val="clear" w:color="auto" w:fill="F2F2F2" w:themeFill="background1" w:themeFillShade="F2"/>
          </w:tcPr>
          <w:p w14:paraId="29590ACB" w14:textId="77777777" w:rsidR="0013642F" w:rsidRPr="004728ED" w:rsidRDefault="0013642F" w:rsidP="0013642F">
            <w:pPr>
              <w:spacing w:after="0"/>
              <w:contextualSpacing/>
              <w:jc w:val="center"/>
              <w:rPr>
                <w:b/>
                <w:bCs/>
                <w:szCs w:val="20"/>
              </w:rPr>
            </w:pPr>
          </w:p>
        </w:tc>
        <w:tc>
          <w:tcPr>
            <w:tcW w:w="659" w:type="pct"/>
            <w:shd w:val="clear" w:color="auto" w:fill="F2F2F2" w:themeFill="background1" w:themeFillShade="F2"/>
          </w:tcPr>
          <w:p w14:paraId="57FFDB25" w14:textId="77777777" w:rsidR="0013642F" w:rsidRPr="004728ED" w:rsidRDefault="0013642F" w:rsidP="0013642F">
            <w:pPr>
              <w:spacing w:after="0"/>
              <w:contextualSpacing/>
              <w:jc w:val="center"/>
              <w:rPr>
                <w:b/>
                <w:bCs/>
                <w:szCs w:val="20"/>
              </w:rPr>
            </w:pPr>
            <w:r w:rsidRPr="004728ED">
              <w:rPr>
                <w:b/>
                <w:bCs/>
                <w:szCs w:val="20"/>
              </w:rPr>
              <w:t>Letrozole</w:t>
            </w:r>
          </w:p>
        </w:tc>
        <w:tc>
          <w:tcPr>
            <w:tcW w:w="684" w:type="pct"/>
            <w:shd w:val="clear" w:color="auto" w:fill="F2F2F2" w:themeFill="background1" w:themeFillShade="F2"/>
          </w:tcPr>
          <w:p w14:paraId="0D870CA3" w14:textId="77777777" w:rsidR="0013642F" w:rsidRPr="004728ED" w:rsidRDefault="0013642F" w:rsidP="0013642F">
            <w:pPr>
              <w:spacing w:after="0"/>
              <w:contextualSpacing/>
              <w:jc w:val="center"/>
              <w:rPr>
                <w:b/>
                <w:bCs/>
                <w:szCs w:val="20"/>
              </w:rPr>
            </w:pPr>
            <w:r w:rsidRPr="004728ED">
              <w:rPr>
                <w:b/>
                <w:bCs/>
                <w:szCs w:val="20"/>
              </w:rPr>
              <w:t>Anastrozole</w:t>
            </w:r>
          </w:p>
        </w:tc>
        <w:tc>
          <w:tcPr>
            <w:tcW w:w="696" w:type="pct"/>
            <w:shd w:val="clear" w:color="auto" w:fill="F2F2F2" w:themeFill="background1" w:themeFillShade="F2"/>
          </w:tcPr>
          <w:p w14:paraId="10FC75CD" w14:textId="77777777" w:rsidR="0013642F" w:rsidRPr="004728ED" w:rsidRDefault="0013642F" w:rsidP="0013642F">
            <w:pPr>
              <w:spacing w:after="0"/>
              <w:contextualSpacing/>
              <w:jc w:val="center"/>
              <w:rPr>
                <w:b/>
                <w:bCs/>
                <w:szCs w:val="20"/>
              </w:rPr>
            </w:pPr>
            <w:r w:rsidRPr="004728ED">
              <w:rPr>
                <w:b/>
                <w:bCs/>
                <w:szCs w:val="20"/>
              </w:rPr>
              <w:t xml:space="preserve">Exemestane </w:t>
            </w:r>
          </w:p>
        </w:tc>
        <w:tc>
          <w:tcPr>
            <w:tcW w:w="659" w:type="pct"/>
            <w:shd w:val="clear" w:color="auto" w:fill="F2F2F2" w:themeFill="background1" w:themeFillShade="F2"/>
          </w:tcPr>
          <w:p w14:paraId="403FEFDF" w14:textId="77777777" w:rsidR="0013642F" w:rsidRPr="004728ED" w:rsidRDefault="0013642F" w:rsidP="0013642F">
            <w:pPr>
              <w:spacing w:after="0"/>
              <w:contextualSpacing/>
              <w:jc w:val="center"/>
              <w:rPr>
                <w:b/>
                <w:bCs/>
                <w:szCs w:val="20"/>
              </w:rPr>
            </w:pPr>
            <w:r w:rsidRPr="004728ED">
              <w:rPr>
                <w:b/>
                <w:bCs/>
                <w:szCs w:val="20"/>
              </w:rPr>
              <w:t>Everolimus</w:t>
            </w:r>
          </w:p>
        </w:tc>
        <w:tc>
          <w:tcPr>
            <w:tcW w:w="663" w:type="pct"/>
            <w:shd w:val="clear" w:color="auto" w:fill="F2F2F2" w:themeFill="background1" w:themeFillShade="F2"/>
          </w:tcPr>
          <w:p w14:paraId="6FE212E7" w14:textId="77777777" w:rsidR="0013642F" w:rsidRPr="004728ED" w:rsidRDefault="0013642F" w:rsidP="0013642F">
            <w:pPr>
              <w:spacing w:after="0"/>
              <w:contextualSpacing/>
              <w:jc w:val="center"/>
              <w:rPr>
                <w:b/>
                <w:bCs/>
                <w:szCs w:val="20"/>
              </w:rPr>
            </w:pPr>
            <w:r w:rsidRPr="004728ED">
              <w:rPr>
                <w:b/>
                <w:bCs/>
                <w:szCs w:val="20"/>
              </w:rPr>
              <w:t>Fulvestrant</w:t>
            </w:r>
          </w:p>
        </w:tc>
        <w:tc>
          <w:tcPr>
            <w:tcW w:w="657" w:type="pct"/>
            <w:shd w:val="clear" w:color="auto" w:fill="F2F2F2" w:themeFill="background1" w:themeFillShade="F2"/>
          </w:tcPr>
          <w:p w14:paraId="4EFC2067" w14:textId="77777777" w:rsidR="0013642F" w:rsidRPr="004728ED" w:rsidRDefault="0013642F" w:rsidP="0013642F">
            <w:pPr>
              <w:spacing w:after="0"/>
              <w:contextualSpacing/>
              <w:jc w:val="center"/>
              <w:rPr>
                <w:b/>
                <w:bCs/>
                <w:szCs w:val="20"/>
              </w:rPr>
            </w:pPr>
            <w:r w:rsidRPr="004728ED">
              <w:rPr>
                <w:b/>
                <w:bCs/>
                <w:szCs w:val="20"/>
              </w:rPr>
              <w:t>Palbociclib + Letrozole</w:t>
            </w:r>
          </w:p>
        </w:tc>
        <w:tc>
          <w:tcPr>
            <w:tcW w:w="661" w:type="pct"/>
            <w:shd w:val="clear" w:color="auto" w:fill="F2F2F2" w:themeFill="background1" w:themeFillShade="F2"/>
          </w:tcPr>
          <w:p w14:paraId="3973EC41" w14:textId="77777777" w:rsidR="0013642F" w:rsidRPr="004728ED" w:rsidRDefault="0013642F" w:rsidP="0013642F">
            <w:pPr>
              <w:spacing w:after="0"/>
              <w:contextualSpacing/>
              <w:jc w:val="center"/>
              <w:rPr>
                <w:b/>
                <w:bCs/>
                <w:szCs w:val="20"/>
              </w:rPr>
            </w:pPr>
            <w:r w:rsidRPr="004728ED">
              <w:rPr>
                <w:b/>
                <w:bCs/>
                <w:szCs w:val="20"/>
              </w:rPr>
              <w:t xml:space="preserve">Ribociclib + Letrozole </w:t>
            </w:r>
          </w:p>
        </w:tc>
      </w:tr>
      <w:tr w:rsidR="0013642F" w:rsidRPr="004728ED" w14:paraId="40CD8527" w14:textId="77777777" w:rsidTr="00AA7C3F">
        <w:trPr>
          <w:trHeight w:val="306"/>
        </w:trPr>
        <w:tc>
          <w:tcPr>
            <w:tcW w:w="320" w:type="pct"/>
            <w:shd w:val="clear" w:color="auto" w:fill="auto"/>
            <w:hideMark/>
          </w:tcPr>
          <w:p w14:paraId="124AF753" w14:textId="77777777" w:rsidR="0013642F" w:rsidRPr="004728ED" w:rsidRDefault="0013642F" w:rsidP="0013642F">
            <w:pPr>
              <w:spacing w:after="0"/>
              <w:contextualSpacing/>
              <w:jc w:val="center"/>
              <w:rPr>
                <w:szCs w:val="20"/>
              </w:rPr>
            </w:pPr>
            <w:r w:rsidRPr="004728ED">
              <w:rPr>
                <w:szCs w:val="20"/>
              </w:rPr>
              <w:t>BC</w:t>
            </w:r>
          </w:p>
        </w:tc>
        <w:tc>
          <w:tcPr>
            <w:tcW w:w="659" w:type="pct"/>
            <w:shd w:val="clear" w:color="auto" w:fill="auto"/>
            <w:tcMar>
              <w:top w:w="72" w:type="dxa"/>
              <w:left w:w="144" w:type="dxa"/>
              <w:bottom w:w="72" w:type="dxa"/>
              <w:right w:w="144" w:type="dxa"/>
            </w:tcMar>
          </w:tcPr>
          <w:p w14:paraId="60FEE200" w14:textId="77777777" w:rsidR="0013642F" w:rsidRPr="004728ED" w:rsidRDefault="0013642F" w:rsidP="0013642F">
            <w:pPr>
              <w:spacing w:after="0"/>
              <w:contextualSpacing/>
              <w:jc w:val="center"/>
              <w:rPr>
                <w:szCs w:val="20"/>
              </w:rPr>
            </w:pPr>
            <w:r w:rsidRPr="004728ED">
              <w:rPr>
                <w:szCs w:val="20"/>
              </w:rPr>
              <w:sym w:font="Wingdings" w:char="F0FC"/>
            </w:r>
          </w:p>
        </w:tc>
        <w:tc>
          <w:tcPr>
            <w:tcW w:w="684" w:type="pct"/>
          </w:tcPr>
          <w:p w14:paraId="2D30F258" w14:textId="77777777" w:rsidR="0013642F" w:rsidRPr="004728ED" w:rsidRDefault="0013642F" w:rsidP="0013642F">
            <w:pPr>
              <w:spacing w:after="0"/>
              <w:contextualSpacing/>
              <w:jc w:val="center"/>
              <w:rPr>
                <w:szCs w:val="20"/>
              </w:rPr>
            </w:pPr>
            <w:r w:rsidRPr="004728ED">
              <w:rPr>
                <w:szCs w:val="20"/>
              </w:rPr>
              <w:sym w:font="Wingdings" w:char="F0FC"/>
            </w:r>
          </w:p>
        </w:tc>
        <w:tc>
          <w:tcPr>
            <w:tcW w:w="696" w:type="pct"/>
          </w:tcPr>
          <w:p w14:paraId="49CDD35D" w14:textId="77777777" w:rsidR="0013642F" w:rsidRPr="004728ED" w:rsidRDefault="0013642F" w:rsidP="0013642F">
            <w:pPr>
              <w:spacing w:after="0"/>
              <w:contextualSpacing/>
              <w:jc w:val="center"/>
              <w:rPr>
                <w:szCs w:val="20"/>
              </w:rPr>
            </w:pPr>
            <w:r w:rsidRPr="004728ED">
              <w:rPr>
                <w:szCs w:val="20"/>
              </w:rPr>
              <w:sym w:font="Wingdings" w:char="F0FC"/>
            </w:r>
          </w:p>
        </w:tc>
        <w:tc>
          <w:tcPr>
            <w:tcW w:w="659" w:type="pct"/>
          </w:tcPr>
          <w:p w14:paraId="783275DE" w14:textId="77777777" w:rsidR="0013642F" w:rsidRPr="004728ED" w:rsidRDefault="0013642F" w:rsidP="0013642F">
            <w:pPr>
              <w:spacing w:after="0"/>
              <w:contextualSpacing/>
              <w:jc w:val="center"/>
              <w:rPr>
                <w:szCs w:val="20"/>
              </w:rPr>
            </w:pPr>
            <w:r w:rsidRPr="004728ED">
              <w:rPr>
                <w:szCs w:val="20"/>
              </w:rPr>
              <w:sym w:font="Wingdings" w:char="F0FC"/>
            </w:r>
          </w:p>
        </w:tc>
        <w:tc>
          <w:tcPr>
            <w:tcW w:w="663" w:type="pct"/>
          </w:tcPr>
          <w:p w14:paraId="42E0B2BF" w14:textId="77777777" w:rsidR="0013642F" w:rsidRPr="004728ED" w:rsidRDefault="0013642F" w:rsidP="0013642F">
            <w:pPr>
              <w:spacing w:after="0"/>
              <w:jc w:val="center"/>
              <w:rPr>
                <w:szCs w:val="20"/>
              </w:rPr>
            </w:pPr>
            <w:r w:rsidRPr="004728ED">
              <w:rPr>
                <w:szCs w:val="20"/>
              </w:rPr>
              <w:t>†</w:t>
            </w:r>
          </w:p>
        </w:tc>
        <w:tc>
          <w:tcPr>
            <w:tcW w:w="657" w:type="pct"/>
          </w:tcPr>
          <w:p w14:paraId="41360ED8" w14:textId="77777777" w:rsidR="0013642F" w:rsidRPr="004728ED" w:rsidRDefault="0013642F" w:rsidP="0013642F">
            <w:pPr>
              <w:spacing w:after="0"/>
              <w:jc w:val="center"/>
              <w:rPr>
                <w:szCs w:val="20"/>
              </w:rPr>
            </w:pPr>
            <w:r w:rsidRPr="004728ED">
              <w:rPr>
                <w:szCs w:val="20"/>
              </w:rPr>
              <w:sym w:font="Wingdings" w:char="F0FC"/>
            </w:r>
          </w:p>
        </w:tc>
        <w:tc>
          <w:tcPr>
            <w:tcW w:w="661" w:type="pct"/>
          </w:tcPr>
          <w:p w14:paraId="51E45CEB" w14:textId="77777777" w:rsidR="0013642F" w:rsidRPr="004728ED" w:rsidRDefault="0013642F" w:rsidP="0013642F">
            <w:pPr>
              <w:spacing w:after="0"/>
              <w:jc w:val="center"/>
              <w:rPr>
                <w:szCs w:val="20"/>
              </w:rPr>
            </w:pPr>
            <w:r w:rsidRPr="004728ED">
              <w:rPr>
                <w:szCs w:val="20"/>
              </w:rPr>
              <w:t>†</w:t>
            </w:r>
          </w:p>
        </w:tc>
      </w:tr>
      <w:tr w:rsidR="0013642F" w:rsidRPr="004728ED" w14:paraId="7DA13DE6" w14:textId="77777777" w:rsidTr="00AA7C3F">
        <w:trPr>
          <w:trHeight w:val="306"/>
        </w:trPr>
        <w:tc>
          <w:tcPr>
            <w:tcW w:w="320" w:type="pct"/>
            <w:shd w:val="clear" w:color="auto" w:fill="auto"/>
            <w:hideMark/>
          </w:tcPr>
          <w:p w14:paraId="277A0495" w14:textId="77777777" w:rsidR="0013642F" w:rsidRPr="004728ED" w:rsidRDefault="0013642F" w:rsidP="0013642F">
            <w:pPr>
              <w:spacing w:after="0"/>
              <w:contextualSpacing/>
              <w:jc w:val="center"/>
              <w:rPr>
                <w:szCs w:val="20"/>
              </w:rPr>
            </w:pPr>
            <w:r w:rsidRPr="004728ED">
              <w:rPr>
                <w:szCs w:val="20"/>
              </w:rPr>
              <w:t>AB</w:t>
            </w:r>
          </w:p>
        </w:tc>
        <w:tc>
          <w:tcPr>
            <w:tcW w:w="659" w:type="pct"/>
            <w:shd w:val="clear" w:color="auto" w:fill="auto"/>
            <w:tcMar>
              <w:top w:w="72" w:type="dxa"/>
              <w:left w:w="144" w:type="dxa"/>
              <w:bottom w:w="72" w:type="dxa"/>
              <w:right w:w="144" w:type="dxa"/>
            </w:tcMar>
          </w:tcPr>
          <w:p w14:paraId="0F0E92B0" w14:textId="77777777" w:rsidR="0013642F" w:rsidRPr="004728ED" w:rsidRDefault="0013642F" w:rsidP="0013642F">
            <w:pPr>
              <w:spacing w:after="0"/>
              <w:contextualSpacing/>
              <w:jc w:val="center"/>
              <w:rPr>
                <w:szCs w:val="20"/>
              </w:rPr>
            </w:pPr>
            <w:r w:rsidRPr="004728ED">
              <w:rPr>
                <w:szCs w:val="20"/>
              </w:rPr>
              <w:sym w:font="Wingdings" w:char="F0FC"/>
            </w:r>
          </w:p>
        </w:tc>
        <w:tc>
          <w:tcPr>
            <w:tcW w:w="684" w:type="pct"/>
          </w:tcPr>
          <w:p w14:paraId="3D1E1326" w14:textId="77777777" w:rsidR="0013642F" w:rsidRPr="004728ED" w:rsidRDefault="0013642F" w:rsidP="0013642F">
            <w:pPr>
              <w:spacing w:after="0"/>
              <w:contextualSpacing/>
              <w:jc w:val="center"/>
              <w:rPr>
                <w:szCs w:val="20"/>
              </w:rPr>
            </w:pPr>
            <w:r w:rsidRPr="004728ED">
              <w:rPr>
                <w:szCs w:val="20"/>
              </w:rPr>
              <w:sym w:font="Wingdings" w:char="F0FC"/>
            </w:r>
          </w:p>
        </w:tc>
        <w:tc>
          <w:tcPr>
            <w:tcW w:w="696" w:type="pct"/>
          </w:tcPr>
          <w:p w14:paraId="45D16EE6" w14:textId="77777777" w:rsidR="0013642F" w:rsidRPr="004728ED" w:rsidRDefault="0013642F" w:rsidP="0013642F">
            <w:pPr>
              <w:spacing w:after="0"/>
              <w:contextualSpacing/>
              <w:jc w:val="center"/>
              <w:rPr>
                <w:szCs w:val="20"/>
              </w:rPr>
            </w:pPr>
            <w:r w:rsidRPr="004728ED">
              <w:rPr>
                <w:szCs w:val="20"/>
              </w:rPr>
              <w:sym w:font="Wingdings" w:char="F0FC"/>
            </w:r>
          </w:p>
        </w:tc>
        <w:tc>
          <w:tcPr>
            <w:tcW w:w="659" w:type="pct"/>
          </w:tcPr>
          <w:p w14:paraId="0E983C15" w14:textId="77777777" w:rsidR="0013642F" w:rsidRPr="004728ED" w:rsidRDefault="0013642F" w:rsidP="0013642F">
            <w:pPr>
              <w:spacing w:after="0"/>
              <w:contextualSpacing/>
              <w:jc w:val="center"/>
              <w:rPr>
                <w:szCs w:val="20"/>
              </w:rPr>
            </w:pPr>
            <w:r w:rsidRPr="004728ED">
              <w:rPr>
                <w:szCs w:val="20"/>
              </w:rPr>
              <w:sym w:font="Wingdings" w:char="F0FC"/>
            </w:r>
          </w:p>
        </w:tc>
        <w:tc>
          <w:tcPr>
            <w:tcW w:w="663" w:type="pct"/>
          </w:tcPr>
          <w:p w14:paraId="0145B2E5" w14:textId="77777777" w:rsidR="0013642F" w:rsidRPr="004728ED" w:rsidRDefault="0013642F" w:rsidP="0013642F">
            <w:pPr>
              <w:spacing w:after="0"/>
              <w:jc w:val="center"/>
              <w:rPr>
                <w:szCs w:val="20"/>
              </w:rPr>
            </w:pPr>
            <w:r w:rsidRPr="004728ED">
              <w:rPr>
                <w:szCs w:val="20"/>
              </w:rPr>
              <w:t>†</w:t>
            </w:r>
          </w:p>
        </w:tc>
        <w:tc>
          <w:tcPr>
            <w:tcW w:w="657" w:type="pct"/>
          </w:tcPr>
          <w:p w14:paraId="69ECB6AF" w14:textId="77777777" w:rsidR="0013642F" w:rsidRPr="004728ED" w:rsidRDefault="0013642F" w:rsidP="0013642F">
            <w:pPr>
              <w:spacing w:after="0"/>
              <w:jc w:val="center"/>
              <w:rPr>
                <w:szCs w:val="20"/>
              </w:rPr>
            </w:pPr>
            <w:r w:rsidRPr="004728ED">
              <w:rPr>
                <w:szCs w:val="20"/>
              </w:rPr>
              <w:sym w:font="Wingdings" w:char="F0FC"/>
            </w:r>
          </w:p>
        </w:tc>
        <w:tc>
          <w:tcPr>
            <w:tcW w:w="661" w:type="pct"/>
          </w:tcPr>
          <w:p w14:paraId="392939F5" w14:textId="77777777" w:rsidR="0013642F" w:rsidRPr="004728ED" w:rsidRDefault="0013642F" w:rsidP="0013642F">
            <w:pPr>
              <w:spacing w:after="0"/>
              <w:jc w:val="center"/>
              <w:rPr>
                <w:szCs w:val="20"/>
              </w:rPr>
            </w:pPr>
            <w:r w:rsidRPr="004728ED">
              <w:rPr>
                <w:szCs w:val="20"/>
              </w:rPr>
              <w:t>†</w:t>
            </w:r>
          </w:p>
        </w:tc>
      </w:tr>
      <w:tr w:rsidR="0013642F" w:rsidRPr="004728ED" w14:paraId="56E44E83" w14:textId="77777777" w:rsidTr="00AA7C3F">
        <w:trPr>
          <w:trHeight w:val="306"/>
        </w:trPr>
        <w:tc>
          <w:tcPr>
            <w:tcW w:w="320" w:type="pct"/>
            <w:shd w:val="clear" w:color="auto" w:fill="auto"/>
            <w:hideMark/>
          </w:tcPr>
          <w:p w14:paraId="2DD08EDA" w14:textId="77777777" w:rsidR="0013642F" w:rsidRPr="004728ED" w:rsidRDefault="0013642F" w:rsidP="0013642F">
            <w:pPr>
              <w:spacing w:after="0"/>
              <w:contextualSpacing/>
              <w:jc w:val="center"/>
              <w:rPr>
                <w:szCs w:val="20"/>
              </w:rPr>
            </w:pPr>
            <w:r w:rsidRPr="004728ED">
              <w:rPr>
                <w:szCs w:val="20"/>
              </w:rPr>
              <w:t>SK</w:t>
            </w:r>
          </w:p>
        </w:tc>
        <w:tc>
          <w:tcPr>
            <w:tcW w:w="659" w:type="pct"/>
            <w:shd w:val="clear" w:color="auto" w:fill="auto"/>
            <w:tcMar>
              <w:top w:w="72" w:type="dxa"/>
              <w:left w:w="144" w:type="dxa"/>
              <w:bottom w:w="72" w:type="dxa"/>
              <w:right w:w="144" w:type="dxa"/>
            </w:tcMar>
          </w:tcPr>
          <w:p w14:paraId="3505030F" w14:textId="77777777" w:rsidR="0013642F" w:rsidRPr="004728ED" w:rsidRDefault="0013642F" w:rsidP="0013642F">
            <w:pPr>
              <w:spacing w:after="0"/>
              <w:contextualSpacing/>
              <w:jc w:val="center"/>
              <w:rPr>
                <w:szCs w:val="20"/>
              </w:rPr>
            </w:pPr>
            <w:r w:rsidRPr="004728ED">
              <w:rPr>
                <w:szCs w:val="20"/>
              </w:rPr>
              <w:sym w:font="Wingdings" w:char="F0FC"/>
            </w:r>
          </w:p>
        </w:tc>
        <w:tc>
          <w:tcPr>
            <w:tcW w:w="684" w:type="pct"/>
          </w:tcPr>
          <w:p w14:paraId="1C532354" w14:textId="77777777" w:rsidR="0013642F" w:rsidRPr="004728ED" w:rsidRDefault="0013642F" w:rsidP="0013642F">
            <w:pPr>
              <w:spacing w:after="0"/>
              <w:contextualSpacing/>
              <w:jc w:val="center"/>
              <w:rPr>
                <w:szCs w:val="20"/>
              </w:rPr>
            </w:pPr>
            <w:r w:rsidRPr="004728ED">
              <w:rPr>
                <w:szCs w:val="20"/>
              </w:rPr>
              <w:sym w:font="Wingdings" w:char="F0FC"/>
            </w:r>
          </w:p>
        </w:tc>
        <w:tc>
          <w:tcPr>
            <w:tcW w:w="696" w:type="pct"/>
          </w:tcPr>
          <w:p w14:paraId="3C7F0EEE" w14:textId="77777777" w:rsidR="0013642F" w:rsidRPr="004728ED" w:rsidRDefault="0013642F" w:rsidP="0013642F">
            <w:pPr>
              <w:spacing w:after="0"/>
              <w:contextualSpacing/>
              <w:jc w:val="center"/>
              <w:rPr>
                <w:szCs w:val="20"/>
              </w:rPr>
            </w:pPr>
            <w:r w:rsidRPr="004728ED">
              <w:rPr>
                <w:szCs w:val="20"/>
              </w:rPr>
              <w:sym w:font="Wingdings" w:char="F0FC"/>
            </w:r>
          </w:p>
        </w:tc>
        <w:tc>
          <w:tcPr>
            <w:tcW w:w="659" w:type="pct"/>
          </w:tcPr>
          <w:p w14:paraId="716C89E3" w14:textId="77777777" w:rsidR="0013642F" w:rsidRPr="004728ED" w:rsidRDefault="0013642F" w:rsidP="0013642F">
            <w:pPr>
              <w:spacing w:after="0"/>
              <w:contextualSpacing/>
              <w:jc w:val="center"/>
              <w:rPr>
                <w:szCs w:val="20"/>
              </w:rPr>
            </w:pPr>
            <w:r w:rsidRPr="004728ED">
              <w:rPr>
                <w:szCs w:val="20"/>
              </w:rPr>
              <w:sym w:font="Wingdings" w:char="F0FC"/>
            </w:r>
          </w:p>
        </w:tc>
        <w:tc>
          <w:tcPr>
            <w:tcW w:w="663" w:type="pct"/>
          </w:tcPr>
          <w:p w14:paraId="6BF2C9F7" w14:textId="77777777" w:rsidR="0013642F" w:rsidRPr="004728ED" w:rsidRDefault="0013642F" w:rsidP="0013642F">
            <w:pPr>
              <w:spacing w:after="0"/>
              <w:jc w:val="center"/>
              <w:rPr>
                <w:szCs w:val="20"/>
              </w:rPr>
            </w:pPr>
            <w:r w:rsidRPr="004728ED">
              <w:rPr>
                <w:szCs w:val="20"/>
              </w:rPr>
              <w:t>†</w:t>
            </w:r>
          </w:p>
        </w:tc>
        <w:tc>
          <w:tcPr>
            <w:tcW w:w="657" w:type="pct"/>
          </w:tcPr>
          <w:p w14:paraId="5C3AF659" w14:textId="77777777" w:rsidR="0013642F" w:rsidRPr="004728ED" w:rsidRDefault="0013642F" w:rsidP="0013642F">
            <w:pPr>
              <w:spacing w:after="0"/>
              <w:jc w:val="center"/>
              <w:rPr>
                <w:szCs w:val="20"/>
              </w:rPr>
            </w:pPr>
            <w:r w:rsidRPr="004728ED">
              <w:rPr>
                <w:szCs w:val="20"/>
              </w:rPr>
              <w:sym w:font="Wingdings" w:char="F0FC"/>
            </w:r>
          </w:p>
        </w:tc>
        <w:tc>
          <w:tcPr>
            <w:tcW w:w="661" w:type="pct"/>
          </w:tcPr>
          <w:p w14:paraId="5D09AAA4" w14:textId="77777777" w:rsidR="0013642F" w:rsidRPr="004728ED" w:rsidRDefault="0013642F" w:rsidP="0013642F">
            <w:pPr>
              <w:spacing w:after="0"/>
              <w:jc w:val="center"/>
              <w:rPr>
                <w:szCs w:val="20"/>
              </w:rPr>
            </w:pPr>
            <w:r w:rsidRPr="004728ED">
              <w:rPr>
                <w:szCs w:val="20"/>
              </w:rPr>
              <w:t>†</w:t>
            </w:r>
          </w:p>
        </w:tc>
      </w:tr>
      <w:tr w:rsidR="0013642F" w:rsidRPr="004728ED" w14:paraId="25DD5D2A" w14:textId="77777777" w:rsidTr="00AA7C3F">
        <w:trPr>
          <w:trHeight w:val="306"/>
        </w:trPr>
        <w:tc>
          <w:tcPr>
            <w:tcW w:w="320" w:type="pct"/>
            <w:shd w:val="clear" w:color="auto" w:fill="auto"/>
            <w:hideMark/>
          </w:tcPr>
          <w:p w14:paraId="0FA4D7E0" w14:textId="77777777" w:rsidR="0013642F" w:rsidRPr="004728ED" w:rsidRDefault="0013642F" w:rsidP="0013642F">
            <w:pPr>
              <w:spacing w:after="0"/>
              <w:contextualSpacing/>
              <w:jc w:val="center"/>
              <w:rPr>
                <w:szCs w:val="20"/>
              </w:rPr>
            </w:pPr>
            <w:r w:rsidRPr="004728ED">
              <w:rPr>
                <w:szCs w:val="20"/>
              </w:rPr>
              <w:t>MB</w:t>
            </w:r>
          </w:p>
        </w:tc>
        <w:tc>
          <w:tcPr>
            <w:tcW w:w="659" w:type="pct"/>
            <w:shd w:val="clear" w:color="auto" w:fill="auto"/>
            <w:tcMar>
              <w:top w:w="72" w:type="dxa"/>
              <w:left w:w="144" w:type="dxa"/>
              <w:bottom w:w="72" w:type="dxa"/>
              <w:right w:w="144" w:type="dxa"/>
            </w:tcMar>
          </w:tcPr>
          <w:p w14:paraId="41FA6F83" w14:textId="77777777" w:rsidR="0013642F" w:rsidRPr="004728ED" w:rsidRDefault="0013642F" w:rsidP="0013642F">
            <w:pPr>
              <w:spacing w:after="0"/>
              <w:contextualSpacing/>
              <w:jc w:val="center"/>
              <w:rPr>
                <w:szCs w:val="20"/>
              </w:rPr>
            </w:pPr>
            <w:r w:rsidRPr="004728ED">
              <w:rPr>
                <w:szCs w:val="20"/>
              </w:rPr>
              <w:sym w:font="Wingdings" w:char="F0FC"/>
            </w:r>
          </w:p>
        </w:tc>
        <w:tc>
          <w:tcPr>
            <w:tcW w:w="684" w:type="pct"/>
          </w:tcPr>
          <w:p w14:paraId="3F94C4D7" w14:textId="77777777" w:rsidR="0013642F" w:rsidRPr="004728ED" w:rsidRDefault="0013642F" w:rsidP="0013642F">
            <w:pPr>
              <w:spacing w:after="0"/>
              <w:contextualSpacing/>
              <w:jc w:val="center"/>
              <w:rPr>
                <w:szCs w:val="20"/>
              </w:rPr>
            </w:pPr>
            <w:r w:rsidRPr="004728ED">
              <w:rPr>
                <w:szCs w:val="20"/>
              </w:rPr>
              <w:sym w:font="Wingdings" w:char="F0FC"/>
            </w:r>
          </w:p>
        </w:tc>
        <w:tc>
          <w:tcPr>
            <w:tcW w:w="696" w:type="pct"/>
          </w:tcPr>
          <w:p w14:paraId="49503430" w14:textId="77777777" w:rsidR="0013642F" w:rsidRPr="004728ED" w:rsidRDefault="0013642F" w:rsidP="0013642F">
            <w:pPr>
              <w:spacing w:after="0"/>
              <w:contextualSpacing/>
              <w:jc w:val="center"/>
              <w:rPr>
                <w:szCs w:val="20"/>
              </w:rPr>
            </w:pPr>
            <w:r w:rsidRPr="004728ED">
              <w:rPr>
                <w:szCs w:val="20"/>
              </w:rPr>
              <w:sym w:font="Wingdings" w:char="F0FC"/>
            </w:r>
          </w:p>
        </w:tc>
        <w:tc>
          <w:tcPr>
            <w:tcW w:w="659" w:type="pct"/>
          </w:tcPr>
          <w:p w14:paraId="24EEE53D" w14:textId="77777777" w:rsidR="0013642F" w:rsidRPr="004728ED" w:rsidRDefault="0013642F" w:rsidP="0013642F">
            <w:pPr>
              <w:spacing w:after="0"/>
              <w:contextualSpacing/>
              <w:jc w:val="center"/>
              <w:rPr>
                <w:szCs w:val="20"/>
              </w:rPr>
            </w:pPr>
            <w:r w:rsidRPr="004728ED">
              <w:rPr>
                <w:szCs w:val="20"/>
              </w:rPr>
              <w:sym w:font="Wingdings" w:char="F0FC"/>
            </w:r>
          </w:p>
        </w:tc>
        <w:tc>
          <w:tcPr>
            <w:tcW w:w="663" w:type="pct"/>
          </w:tcPr>
          <w:p w14:paraId="7BDD19CB" w14:textId="77777777" w:rsidR="0013642F" w:rsidRPr="004728ED" w:rsidRDefault="0013642F" w:rsidP="0013642F">
            <w:pPr>
              <w:spacing w:after="0"/>
              <w:jc w:val="center"/>
              <w:rPr>
                <w:szCs w:val="20"/>
              </w:rPr>
            </w:pPr>
            <w:r w:rsidRPr="004728ED">
              <w:rPr>
                <w:szCs w:val="20"/>
              </w:rPr>
              <w:t>†</w:t>
            </w:r>
          </w:p>
        </w:tc>
        <w:tc>
          <w:tcPr>
            <w:tcW w:w="657" w:type="pct"/>
          </w:tcPr>
          <w:p w14:paraId="6C336945" w14:textId="77777777" w:rsidR="0013642F" w:rsidRPr="004728ED" w:rsidRDefault="0013642F" w:rsidP="0013642F">
            <w:pPr>
              <w:spacing w:after="0"/>
              <w:jc w:val="center"/>
              <w:rPr>
                <w:szCs w:val="20"/>
              </w:rPr>
            </w:pPr>
            <w:r w:rsidRPr="004728ED">
              <w:rPr>
                <w:szCs w:val="20"/>
              </w:rPr>
              <w:sym w:font="Wingdings" w:char="F0FC"/>
            </w:r>
          </w:p>
        </w:tc>
        <w:tc>
          <w:tcPr>
            <w:tcW w:w="661" w:type="pct"/>
          </w:tcPr>
          <w:p w14:paraId="0B5A64E5" w14:textId="77777777" w:rsidR="0013642F" w:rsidRPr="004728ED" w:rsidRDefault="0013642F" w:rsidP="0013642F">
            <w:pPr>
              <w:spacing w:after="0"/>
              <w:jc w:val="center"/>
              <w:rPr>
                <w:szCs w:val="20"/>
              </w:rPr>
            </w:pPr>
            <w:r w:rsidRPr="004728ED">
              <w:rPr>
                <w:szCs w:val="20"/>
              </w:rPr>
              <w:t>†</w:t>
            </w:r>
          </w:p>
        </w:tc>
      </w:tr>
      <w:tr w:rsidR="0013642F" w:rsidRPr="004728ED" w14:paraId="61F514B2" w14:textId="77777777" w:rsidTr="00AA7C3F">
        <w:trPr>
          <w:trHeight w:val="306"/>
        </w:trPr>
        <w:tc>
          <w:tcPr>
            <w:tcW w:w="320" w:type="pct"/>
            <w:shd w:val="clear" w:color="auto" w:fill="auto"/>
            <w:hideMark/>
          </w:tcPr>
          <w:p w14:paraId="384BE209" w14:textId="77777777" w:rsidR="0013642F" w:rsidRPr="004728ED" w:rsidRDefault="0013642F" w:rsidP="0013642F">
            <w:pPr>
              <w:spacing w:after="0"/>
              <w:contextualSpacing/>
              <w:jc w:val="center"/>
              <w:rPr>
                <w:szCs w:val="20"/>
              </w:rPr>
            </w:pPr>
            <w:r w:rsidRPr="004728ED">
              <w:rPr>
                <w:szCs w:val="20"/>
              </w:rPr>
              <w:t>ON</w:t>
            </w:r>
          </w:p>
        </w:tc>
        <w:tc>
          <w:tcPr>
            <w:tcW w:w="659" w:type="pct"/>
            <w:shd w:val="clear" w:color="auto" w:fill="auto"/>
            <w:tcMar>
              <w:top w:w="72" w:type="dxa"/>
              <w:left w:w="144" w:type="dxa"/>
              <w:bottom w:w="72" w:type="dxa"/>
              <w:right w:w="144" w:type="dxa"/>
            </w:tcMar>
          </w:tcPr>
          <w:p w14:paraId="522B3B93" w14:textId="77777777" w:rsidR="0013642F" w:rsidRPr="004728ED" w:rsidRDefault="0013642F" w:rsidP="0013642F">
            <w:pPr>
              <w:spacing w:after="0"/>
              <w:contextualSpacing/>
              <w:jc w:val="center"/>
              <w:rPr>
                <w:szCs w:val="20"/>
              </w:rPr>
            </w:pPr>
            <w:r w:rsidRPr="004728ED">
              <w:rPr>
                <w:szCs w:val="20"/>
              </w:rPr>
              <w:sym w:font="Wingdings" w:char="F0FC"/>
            </w:r>
          </w:p>
        </w:tc>
        <w:tc>
          <w:tcPr>
            <w:tcW w:w="684" w:type="pct"/>
          </w:tcPr>
          <w:p w14:paraId="5F995B1B" w14:textId="77777777" w:rsidR="0013642F" w:rsidRPr="004728ED" w:rsidRDefault="0013642F" w:rsidP="0013642F">
            <w:pPr>
              <w:spacing w:after="0"/>
              <w:contextualSpacing/>
              <w:jc w:val="center"/>
              <w:rPr>
                <w:szCs w:val="20"/>
              </w:rPr>
            </w:pPr>
            <w:r w:rsidRPr="004728ED">
              <w:rPr>
                <w:szCs w:val="20"/>
              </w:rPr>
              <w:sym w:font="Wingdings" w:char="F0FC"/>
            </w:r>
          </w:p>
        </w:tc>
        <w:tc>
          <w:tcPr>
            <w:tcW w:w="696" w:type="pct"/>
          </w:tcPr>
          <w:p w14:paraId="1948F972" w14:textId="77777777" w:rsidR="0013642F" w:rsidRPr="004728ED" w:rsidRDefault="0013642F" w:rsidP="0013642F">
            <w:pPr>
              <w:spacing w:after="0"/>
              <w:contextualSpacing/>
              <w:jc w:val="center"/>
              <w:rPr>
                <w:szCs w:val="20"/>
              </w:rPr>
            </w:pPr>
            <w:r w:rsidRPr="004728ED">
              <w:rPr>
                <w:szCs w:val="20"/>
              </w:rPr>
              <w:sym w:font="Wingdings" w:char="F0FC"/>
            </w:r>
          </w:p>
        </w:tc>
        <w:tc>
          <w:tcPr>
            <w:tcW w:w="659" w:type="pct"/>
          </w:tcPr>
          <w:p w14:paraId="1F964DB4" w14:textId="77777777" w:rsidR="0013642F" w:rsidRPr="004728ED" w:rsidRDefault="0013642F" w:rsidP="0013642F">
            <w:pPr>
              <w:spacing w:after="0"/>
              <w:contextualSpacing/>
              <w:jc w:val="center"/>
              <w:rPr>
                <w:szCs w:val="20"/>
              </w:rPr>
            </w:pPr>
            <w:r w:rsidRPr="004728ED">
              <w:rPr>
                <w:szCs w:val="20"/>
              </w:rPr>
              <w:sym w:font="Wingdings" w:char="F0FC"/>
            </w:r>
          </w:p>
        </w:tc>
        <w:tc>
          <w:tcPr>
            <w:tcW w:w="663" w:type="pct"/>
          </w:tcPr>
          <w:p w14:paraId="642FAA36" w14:textId="77777777" w:rsidR="0013642F" w:rsidRPr="004728ED" w:rsidRDefault="0013642F" w:rsidP="0013642F">
            <w:pPr>
              <w:spacing w:after="0"/>
              <w:jc w:val="center"/>
              <w:rPr>
                <w:szCs w:val="20"/>
              </w:rPr>
            </w:pPr>
            <w:r w:rsidRPr="004728ED">
              <w:rPr>
                <w:szCs w:val="20"/>
              </w:rPr>
              <w:t>†</w:t>
            </w:r>
          </w:p>
        </w:tc>
        <w:tc>
          <w:tcPr>
            <w:tcW w:w="657" w:type="pct"/>
          </w:tcPr>
          <w:p w14:paraId="13A1BFD3" w14:textId="77777777" w:rsidR="0013642F" w:rsidRPr="004728ED" w:rsidRDefault="0013642F" w:rsidP="0013642F">
            <w:pPr>
              <w:spacing w:after="0"/>
              <w:jc w:val="center"/>
              <w:rPr>
                <w:szCs w:val="20"/>
              </w:rPr>
            </w:pPr>
            <w:r w:rsidRPr="004728ED">
              <w:rPr>
                <w:szCs w:val="20"/>
              </w:rPr>
              <w:sym w:font="Wingdings" w:char="F0FC"/>
            </w:r>
          </w:p>
        </w:tc>
        <w:tc>
          <w:tcPr>
            <w:tcW w:w="661" w:type="pct"/>
          </w:tcPr>
          <w:p w14:paraId="3F48ABD6" w14:textId="77777777" w:rsidR="0013642F" w:rsidRPr="004728ED" w:rsidRDefault="0013642F" w:rsidP="0013642F">
            <w:pPr>
              <w:spacing w:after="0"/>
              <w:jc w:val="center"/>
              <w:rPr>
                <w:szCs w:val="20"/>
              </w:rPr>
            </w:pPr>
            <w:r w:rsidRPr="004728ED">
              <w:rPr>
                <w:szCs w:val="20"/>
              </w:rPr>
              <w:t>†</w:t>
            </w:r>
          </w:p>
        </w:tc>
      </w:tr>
      <w:tr w:rsidR="0013642F" w:rsidRPr="004728ED" w14:paraId="7B1FAB7A" w14:textId="77777777" w:rsidTr="00AA7C3F">
        <w:trPr>
          <w:trHeight w:val="306"/>
        </w:trPr>
        <w:tc>
          <w:tcPr>
            <w:tcW w:w="320" w:type="pct"/>
            <w:shd w:val="clear" w:color="auto" w:fill="auto"/>
            <w:hideMark/>
          </w:tcPr>
          <w:p w14:paraId="1227D658" w14:textId="77777777" w:rsidR="0013642F" w:rsidRPr="004728ED" w:rsidRDefault="0013642F" w:rsidP="0013642F">
            <w:pPr>
              <w:spacing w:after="0"/>
              <w:contextualSpacing/>
              <w:jc w:val="center"/>
              <w:rPr>
                <w:szCs w:val="20"/>
              </w:rPr>
            </w:pPr>
            <w:r w:rsidRPr="004728ED">
              <w:rPr>
                <w:szCs w:val="20"/>
              </w:rPr>
              <w:t>NS</w:t>
            </w:r>
          </w:p>
        </w:tc>
        <w:tc>
          <w:tcPr>
            <w:tcW w:w="659" w:type="pct"/>
            <w:shd w:val="clear" w:color="auto" w:fill="auto"/>
            <w:tcMar>
              <w:top w:w="72" w:type="dxa"/>
              <w:left w:w="144" w:type="dxa"/>
              <w:bottom w:w="72" w:type="dxa"/>
              <w:right w:w="144" w:type="dxa"/>
            </w:tcMar>
          </w:tcPr>
          <w:p w14:paraId="1D56B41B" w14:textId="77777777" w:rsidR="0013642F" w:rsidRPr="004728ED" w:rsidRDefault="0013642F" w:rsidP="0013642F">
            <w:pPr>
              <w:spacing w:after="0"/>
              <w:contextualSpacing/>
              <w:jc w:val="center"/>
              <w:rPr>
                <w:szCs w:val="20"/>
              </w:rPr>
            </w:pPr>
            <w:r w:rsidRPr="004728ED">
              <w:rPr>
                <w:szCs w:val="20"/>
              </w:rPr>
              <w:sym w:font="Wingdings" w:char="F0FC"/>
            </w:r>
          </w:p>
        </w:tc>
        <w:tc>
          <w:tcPr>
            <w:tcW w:w="684" w:type="pct"/>
          </w:tcPr>
          <w:p w14:paraId="224823E3" w14:textId="77777777" w:rsidR="0013642F" w:rsidRPr="004728ED" w:rsidRDefault="0013642F" w:rsidP="0013642F">
            <w:pPr>
              <w:spacing w:after="0"/>
              <w:contextualSpacing/>
              <w:jc w:val="center"/>
              <w:rPr>
                <w:szCs w:val="20"/>
              </w:rPr>
            </w:pPr>
            <w:r w:rsidRPr="004728ED">
              <w:rPr>
                <w:szCs w:val="20"/>
              </w:rPr>
              <w:sym w:font="Wingdings" w:char="F0FC"/>
            </w:r>
          </w:p>
        </w:tc>
        <w:tc>
          <w:tcPr>
            <w:tcW w:w="696" w:type="pct"/>
          </w:tcPr>
          <w:p w14:paraId="44957828" w14:textId="77777777" w:rsidR="0013642F" w:rsidRPr="004728ED" w:rsidRDefault="0013642F" w:rsidP="0013642F">
            <w:pPr>
              <w:spacing w:after="0"/>
              <w:contextualSpacing/>
              <w:jc w:val="center"/>
              <w:rPr>
                <w:szCs w:val="20"/>
              </w:rPr>
            </w:pPr>
            <w:r w:rsidRPr="004728ED">
              <w:rPr>
                <w:szCs w:val="20"/>
              </w:rPr>
              <w:sym w:font="Wingdings" w:char="F0FB"/>
            </w:r>
          </w:p>
        </w:tc>
        <w:tc>
          <w:tcPr>
            <w:tcW w:w="659" w:type="pct"/>
          </w:tcPr>
          <w:p w14:paraId="352F7551" w14:textId="77777777" w:rsidR="0013642F" w:rsidRPr="004728ED" w:rsidRDefault="0013642F" w:rsidP="0013642F">
            <w:pPr>
              <w:spacing w:after="0"/>
              <w:contextualSpacing/>
              <w:jc w:val="center"/>
              <w:rPr>
                <w:szCs w:val="20"/>
              </w:rPr>
            </w:pPr>
            <w:r w:rsidRPr="004728ED">
              <w:rPr>
                <w:szCs w:val="20"/>
              </w:rPr>
              <w:sym w:font="Wingdings" w:char="F0FC"/>
            </w:r>
          </w:p>
        </w:tc>
        <w:tc>
          <w:tcPr>
            <w:tcW w:w="663" w:type="pct"/>
          </w:tcPr>
          <w:p w14:paraId="78B475A5" w14:textId="77777777" w:rsidR="0013642F" w:rsidRPr="004728ED" w:rsidRDefault="0013642F" w:rsidP="0013642F">
            <w:pPr>
              <w:spacing w:after="0"/>
              <w:jc w:val="center"/>
              <w:rPr>
                <w:szCs w:val="20"/>
              </w:rPr>
            </w:pPr>
            <w:r w:rsidRPr="004728ED">
              <w:rPr>
                <w:szCs w:val="20"/>
              </w:rPr>
              <w:t>†</w:t>
            </w:r>
          </w:p>
        </w:tc>
        <w:tc>
          <w:tcPr>
            <w:tcW w:w="657" w:type="pct"/>
          </w:tcPr>
          <w:p w14:paraId="3E12373F" w14:textId="235A7510" w:rsidR="0013642F" w:rsidRPr="004728ED" w:rsidRDefault="00216316" w:rsidP="0013642F">
            <w:pPr>
              <w:spacing w:after="0"/>
              <w:jc w:val="center"/>
              <w:rPr>
                <w:szCs w:val="20"/>
              </w:rPr>
            </w:pPr>
            <w:r w:rsidRPr="004728ED">
              <w:rPr>
                <w:szCs w:val="20"/>
              </w:rPr>
              <w:sym w:font="Wingdings" w:char="F0FC"/>
            </w:r>
          </w:p>
        </w:tc>
        <w:tc>
          <w:tcPr>
            <w:tcW w:w="661" w:type="pct"/>
          </w:tcPr>
          <w:p w14:paraId="5BDE52E9" w14:textId="77777777" w:rsidR="0013642F" w:rsidRPr="004728ED" w:rsidRDefault="0013642F" w:rsidP="0013642F">
            <w:pPr>
              <w:spacing w:after="0"/>
              <w:jc w:val="center"/>
              <w:rPr>
                <w:szCs w:val="20"/>
              </w:rPr>
            </w:pPr>
            <w:r w:rsidRPr="004728ED">
              <w:rPr>
                <w:szCs w:val="20"/>
              </w:rPr>
              <w:t>†</w:t>
            </w:r>
          </w:p>
        </w:tc>
      </w:tr>
      <w:tr w:rsidR="0013642F" w:rsidRPr="004728ED" w14:paraId="2862F089" w14:textId="77777777" w:rsidTr="00AA7C3F">
        <w:trPr>
          <w:trHeight w:val="306"/>
        </w:trPr>
        <w:tc>
          <w:tcPr>
            <w:tcW w:w="320" w:type="pct"/>
            <w:shd w:val="clear" w:color="auto" w:fill="auto"/>
            <w:hideMark/>
          </w:tcPr>
          <w:p w14:paraId="09026AAC" w14:textId="77777777" w:rsidR="0013642F" w:rsidRPr="004728ED" w:rsidRDefault="0013642F" w:rsidP="0013642F">
            <w:pPr>
              <w:spacing w:after="0"/>
              <w:contextualSpacing/>
              <w:jc w:val="center"/>
              <w:rPr>
                <w:szCs w:val="20"/>
              </w:rPr>
            </w:pPr>
            <w:r w:rsidRPr="004728ED">
              <w:rPr>
                <w:szCs w:val="20"/>
              </w:rPr>
              <w:t>NB</w:t>
            </w:r>
          </w:p>
        </w:tc>
        <w:tc>
          <w:tcPr>
            <w:tcW w:w="659" w:type="pct"/>
            <w:shd w:val="clear" w:color="auto" w:fill="auto"/>
            <w:tcMar>
              <w:top w:w="72" w:type="dxa"/>
              <w:left w:w="144" w:type="dxa"/>
              <w:bottom w:w="72" w:type="dxa"/>
              <w:right w:w="144" w:type="dxa"/>
            </w:tcMar>
          </w:tcPr>
          <w:p w14:paraId="3CC30BFF" w14:textId="77777777" w:rsidR="0013642F" w:rsidRPr="004728ED" w:rsidRDefault="0013642F" w:rsidP="0013642F">
            <w:pPr>
              <w:spacing w:after="0"/>
              <w:contextualSpacing/>
              <w:jc w:val="center"/>
              <w:rPr>
                <w:szCs w:val="20"/>
              </w:rPr>
            </w:pPr>
            <w:r w:rsidRPr="004728ED">
              <w:rPr>
                <w:szCs w:val="20"/>
              </w:rPr>
              <w:sym w:font="Wingdings" w:char="F0FC"/>
            </w:r>
          </w:p>
        </w:tc>
        <w:tc>
          <w:tcPr>
            <w:tcW w:w="684" w:type="pct"/>
          </w:tcPr>
          <w:p w14:paraId="21B0025E" w14:textId="77777777" w:rsidR="0013642F" w:rsidRPr="004728ED" w:rsidRDefault="0013642F" w:rsidP="0013642F">
            <w:pPr>
              <w:spacing w:after="0"/>
              <w:contextualSpacing/>
              <w:jc w:val="center"/>
              <w:rPr>
                <w:szCs w:val="20"/>
              </w:rPr>
            </w:pPr>
            <w:r w:rsidRPr="004728ED">
              <w:rPr>
                <w:szCs w:val="20"/>
              </w:rPr>
              <w:sym w:font="Wingdings" w:char="F0FC"/>
            </w:r>
          </w:p>
        </w:tc>
        <w:tc>
          <w:tcPr>
            <w:tcW w:w="696" w:type="pct"/>
          </w:tcPr>
          <w:p w14:paraId="7857839F" w14:textId="77777777" w:rsidR="0013642F" w:rsidRPr="004728ED" w:rsidRDefault="0013642F" w:rsidP="0013642F">
            <w:pPr>
              <w:spacing w:after="0"/>
              <w:contextualSpacing/>
              <w:jc w:val="center"/>
              <w:rPr>
                <w:szCs w:val="20"/>
              </w:rPr>
            </w:pPr>
            <w:r w:rsidRPr="004728ED">
              <w:rPr>
                <w:szCs w:val="20"/>
              </w:rPr>
              <w:sym w:font="Wingdings" w:char="F0FC"/>
            </w:r>
          </w:p>
        </w:tc>
        <w:tc>
          <w:tcPr>
            <w:tcW w:w="659" w:type="pct"/>
          </w:tcPr>
          <w:p w14:paraId="506162CC" w14:textId="77777777" w:rsidR="0013642F" w:rsidRPr="004728ED" w:rsidRDefault="0013642F" w:rsidP="0013642F">
            <w:pPr>
              <w:spacing w:after="0"/>
              <w:contextualSpacing/>
              <w:jc w:val="center"/>
              <w:rPr>
                <w:szCs w:val="20"/>
              </w:rPr>
            </w:pPr>
            <w:r w:rsidRPr="004728ED">
              <w:rPr>
                <w:szCs w:val="20"/>
              </w:rPr>
              <w:sym w:font="Wingdings" w:char="F0FC"/>
            </w:r>
          </w:p>
        </w:tc>
        <w:tc>
          <w:tcPr>
            <w:tcW w:w="663" w:type="pct"/>
          </w:tcPr>
          <w:p w14:paraId="431805A6" w14:textId="77777777" w:rsidR="0013642F" w:rsidRPr="004728ED" w:rsidRDefault="0013642F" w:rsidP="0013642F">
            <w:pPr>
              <w:spacing w:after="0"/>
              <w:jc w:val="center"/>
              <w:rPr>
                <w:szCs w:val="20"/>
              </w:rPr>
            </w:pPr>
            <w:r w:rsidRPr="004728ED">
              <w:rPr>
                <w:szCs w:val="20"/>
              </w:rPr>
              <w:t>†</w:t>
            </w:r>
          </w:p>
        </w:tc>
        <w:tc>
          <w:tcPr>
            <w:tcW w:w="657" w:type="pct"/>
          </w:tcPr>
          <w:p w14:paraId="0B9D8D78" w14:textId="77777777" w:rsidR="0013642F" w:rsidRPr="004728ED" w:rsidRDefault="0013642F" w:rsidP="0013642F">
            <w:pPr>
              <w:spacing w:after="0"/>
              <w:jc w:val="center"/>
              <w:rPr>
                <w:szCs w:val="20"/>
              </w:rPr>
            </w:pPr>
            <w:r w:rsidRPr="004728ED">
              <w:rPr>
                <w:szCs w:val="20"/>
              </w:rPr>
              <w:sym w:font="Wingdings" w:char="F0FC"/>
            </w:r>
          </w:p>
        </w:tc>
        <w:tc>
          <w:tcPr>
            <w:tcW w:w="661" w:type="pct"/>
          </w:tcPr>
          <w:p w14:paraId="3648F81B" w14:textId="77777777" w:rsidR="0013642F" w:rsidRPr="004728ED" w:rsidRDefault="0013642F" w:rsidP="0013642F">
            <w:pPr>
              <w:spacing w:after="0"/>
              <w:jc w:val="center"/>
              <w:rPr>
                <w:szCs w:val="20"/>
              </w:rPr>
            </w:pPr>
            <w:r w:rsidRPr="004728ED">
              <w:rPr>
                <w:szCs w:val="20"/>
              </w:rPr>
              <w:t>†</w:t>
            </w:r>
          </w:p>
        </w:tc>
      </w:tr>
      <w:tr w:rsidR="0013642F" w:rsidRPr="004728ED" w14:paraId="3BE5C80C" w14:textId="77777777" w:rsidTr="00AA7C3F">
        <w:trPr>
          <w:trHeight w:val="306"/>
        </w:trPr>
        <w:tc>
          <w:tcPr>
            <w:tcW w:w="320" w:type="pct"/>
            <w:shd w:val="clear" w:color="auto" w:fill="auto"/>
            <w:hideMark/>
          </w:tcPr>
          <w:p w14:paraId="76B2919B" w14:textId="77777777" w:rsidR="0013642F" w:rsidRPr="004728ED" w:rsidRDefault="0013642F" w:rsidP="0013642F">
            <w:pPr>
              <w:spacing w:after="0"/>
              <w:contextualSpacing/>
              <w:jc w:val="center"/>
              <w:rPr>
                <w:szCs w:val="20"/>
              </w:rPr>
            </w:pPr>
            <w:r w:rsidRPr="004728ED">
              <w:rPr>
                <w:szCs w:val="20"/>
              </w:rPr>
              <w:t>NL</w:t>
            </w:r>
          </w:p>
        </w:tc>
        <w:tc>
          <w:tcPr>
            <w:tcW w:w="659" w:type="pct"/>
            <w:shd w:val="clear" w:color="auto" w:fill="auto"/>
            <w:tcMar>
              <w:top w:w="72" w:type="dxa"/>
              <w:left w:w="144" w:type="dxa"/>
              <w:bottom w:w="72" w:type="dxa"/>
              <w:right w:w="144" w:type="dxa"/>
            </w:tcMar>
          </w:tcPr>
          <w:p w14:paraId="3B88DF58" w14:textId="77777777" w:rsidR="0013642F" w:rsidRPr="004728ED" w:rsidRDefault="0013642F" w:rsidP="0013642F">
            <w:pPr>
              <w:spacing w:after="0"/>
              <w:contextualSpacing/>
              <w:jc w:val="center"/>
              <w:rPr>
                <w:szCs w:val="20"/>
              </w:rPr>
            </w:pPr>
            <w:r w:rsidRPr="004728ED">
              <w:rPr>
                <w:szCs w:val="20"/>
              </w:rPr>
              <w:sym w:font="Wingdings" w:char="F0FC"/>
            </w:r>
          </w:p>
        </w:tc>
        <w:tc>
          <w:tcPr>
            <w:tcW w:w="684" w:type="pct"/>
          </w:tcPr>
          <w:p w14:paraId="0CED0C83" w14:textId="77777777" w:rsidR="0013642F" w:rsidRPr="004728ED" w:rsidRDefault="0013642F" w:rsidP="0013642F">
            <w:pPr>
              <w:spacing w:after="0"/>
              <w:contextualSpacing/>
              <w:jc w:val="center"/>
              <w:rPr>
                <w:szCs w:val="20"/>
              </w:rPr>
            </w:pPr>
            <w:r w:rsidRPr="004728ED">
              <w:rPr>
                <w:szCs w:val="20"/>
              </w:rPr>
              <w:sym w:font="Wingdings" w:char="F0FC"/>
            </w:r>
          </w:p>
        </w:tc>
        <w:tc>
          <w:tcPr>
            <w:tcW w:w="696" w:type="pct"/>
          </w:tcPr>
          <w:p w14:paraId="7D05B363" w14:textId="77777777" w:rsidR="0013642F" w:rsidRPr="004728ED" w:rsidRDefault="0013642F" w:rsidP="0013642F">
            <w:pPr>
              <w:spacing w:after="0"/>
              <w:contextualSpacing/>
              <w:jc w:val="center"/>
              <w:rPr>
                <w:szCs w:val="20"/>
              </w:rPr>
            </w:pPr>
            <w:r w:rsidRPr="004728ED">
              <w:rPr>
                <w:szCs w:val="20"/>
              </w:rPr>
              <w:sym w:font="Wingdings" w:char="F0FC"/>
            </w:r>
          </w:p>
        </w:tc>
        <w:tc>
          <w:tcPr>
            <w:tcW w:w="659" w:type="pct"/>
          </w:tcPr>
          <w:p w14:paraId="5EBFC6D6" w14:textId="77777777" w:rsidR="0013642F" w:rsidRPr="004728ED" w:rsidRDefault="0013642F" w:rsidP="0013642F">
            <w:pPr>
              <w:spacing w:after="0"/>
              <w:contextualSpacing/>
              <w:jc w:val="center"/>
              <w:rPr>
                <w:szCs w:val="20"/>
              </w:rPr>
            </w:pPr>
            <w:r w:rsidRPr="004728ED">
              <w:rPr>
                <w:szCs w:val="20"/>
              </w:rPr>
              <w:sym w:font="Wingdings" w:char="F0FC"/>
            </w:r>
          </w:p>
        </w:tc>
        <w:tc>
          <w:tcPr>
            <w:tcW w:w="663" w:type="pct"/>
          </w:tcPr>
          <w:p w14:paraId="7E3BF2E7" w14:textId="77777777" w:rsidR="0013642F" w:rsidRPr="004728ED" w:rsidRDefault="0013642F" w:rsidP="0013642F">
            <w:pPr>
              <w:spacing w:after="0"/>
              <w:jc w:val="center"/>
              <w:rPr>
                <w:szCs w:val="20"/>
              </w:rPr>
            </w:pPr>
            <w:r w:rsidRPr="004728ED">
              <w:rPr>
                <w:szCs w:val="20"/>
              </w:rPr>
              <w:t>†</w:t>
            </w:r>
          </w:p>
        </w:tc>
        <w:tc>
          <w:tcPr>
            <w:tcW w:w="657" w:type="pct"/>
          </w:tcPr>
          <w:p w14:paraId="5CE28F16" w14:textId="77777777" w:rsidR="0013642F" w:rsidRPr="004728ED" w:rsidRDefault="0013642F" w:rsidP="0013642F">
            <w:pPr>
              <w:spacing w:after="0"/>
              <w:jc w:val="center"/>
              <w:rPr>
                <w:szCs w:val="20"/>
              </w:rPr>
            </w:pPr>
            <w:r w:rsidRPr="004728ED">
              <w:rPr>
                <w:szCs w:val="20"/>
              </w:rPr>
              <w:sym w:font="Wingdings" w:char="F0FC"/>
            </w:r>
          </w:p>
        </w:tc>
        <w:tc>
          <w:tcPr>
            <w:tcW w:w="661" w:type="pct"/>
          </w:tcPr>
          <w:p w14:paraId="7A9832E7" w14:textId="77777777" w:rsidR="0013642F" w:rsidRPr="004728ED" w:rsidRDefault="0013642F" w:rsidP="0013642F">
            <w:pPr>
              <w:spacing w:after="0"/>
              <w:jc w:val="center"/>
              <w:rPr>
                <w:szCs w:val="20"/>
              </w:rPr>
            </w:pPr>
            <w:r w:rsidRPr="004728ED">
              <w:rPr>
                <w:szCs w:val="20"/>
              </w:rPr>
              <w:t>†</w:t>
            </w:r>
          </w:p>
        </w:tc>
      </w:tr>
      <w:tr w:rsidR="0013642F" w:rsidRPr="004728ED" w14:paraId="45C4965F" w14:textId="77777777" w:rsidTr="00AA7C3F">
        <w:trPr>
          <w:trHeight w:val="306"/>
        </w:trPr>
        <w:tc>
          <w:tcPr>
            <w:tcW w:w="320" w:type="pct"/>
            <w:shd w:val="clear" w:color="auto" w:fill="auto"/>
            <w:hideMark/>
          </w:tcPr>
          <w:p w14:paraId="79383F36" w14:textId="77777777" w:rsidR="0013642F" w:rsidRPr="004728ED" w:rsidRDefault="0013642F" w:rsidP="0013642F">
            <w:pPr>
              <w:spacing w:after="0"/>
              <w:contextualSpacing/>
              <w:jc w:val="center"/>
              <w:rPr>
                <w:szCs w:val="20"/>
              </w:rPr>
            </w:pPr>
            <w:r w:rsidRPr="004728ED">
              <w:rPr>
                <w:szCs w:val="20"/>
              </w:rPr>
              <w:t>PEI</w:t>
            </w:r>
          </w:p>
        </w:tc>
        <w:tc>
          <w:tcPr>
            <w:tcW w:w="659" w:type="pct"/>
            <w:shd w:val="clear" w:color="auto" w:fill="auto"/>
            <w:tcMar>
              <w:top w:w="72" w:type="dxa"/>
              <w:left w:w="144" w:type="dxa"/>
              <w:bottom w:w="72" w:type="dxa"/>
              <w:right w:w="144" w:type="dxa"/>
            </w:tcMar>
          </w:tcPr>
          <w:p w14:paraId="7DDDE610" w14:textId="77777777" w:rsidR="0013642F" w:rsidRPr="004728ED" w:rsidRDefault="0013642F" w:rsidP="0013642F">
            <w:pPr>
              <w:spacing w:after="0"/>
              <w:contextualSpacing/>
              <w:jc w:val="center"/>
              <w:rPr>
                <w:szCs w:val="20"/>
              </w:rPr>
            </w:pPr>
            <w:r w:rsidRPr="004728ED">
              <w:rPr>
                <w:szCs w:val="20"/>
              </w:rPr>
              <w:sym w:font="Wingdings" w:char="F0FC"/>
            </w:r>
          </w:p>
        </w:tc>
        <w:tc>
          <w:tcPr>
            <w:tcW w:w="684" w:type="pct"/>
          </w:tcPr>
          <w:p w14:paraId="44CFDFEF" w14:textId="77777777" w:rsidR="0013642F" w:rsidRPr="004728ED" w:rsidRDefault="0013642F" w:rsidP="0013642F">
            <w:pPr>
              <w:spacing w:after="0"/>
              <w:contextualSpacing/>
              <w:jc w:val="center"/>
              <w:rPr>
                <w:szCs w:val="20"/>
              </w:rPr>
            </w:pPr>
            <w:r w:rsidRPr="004728ED">
              <w:rPr>
                <w:szCs w:val="20"/>
              </w:rPr>
              <w:sym w:font="Wingdings 2" w:char="F050"/>
            </w:r>
          </w:p>
        </w:tc>
        <w:tc>
          <w:tcPr>
            <w:tcW w:w="696" w:type="pct"/>
          </w:tcPr>
          <w:p w14:paraId="75CEB1DB" w14:textId="77777777" w:rsidR="0013642F" w:rsidRPr="004728ED" w:rsidRDefault="0013642F" w:rsidP="0013642F">
            <w:pPr>
              <w:spacing w:after="0"/>
              <w:contextualSpacing/>
              <w:jc w:val="center"/>
              <w:rPr>
                <w:szCs w:val="20"/>
              </w:rPr>
            </w:pPr>
            <w:r w:rsidRPr="004728ED">
              <w:rPr>
                <w:szCs w:val="20"/>
              </w:rPr>
              <w:sym w:font="Wingdings" w:char="F0FC"/>
            </w:r>
          </w:p>
        </w:tc>
        <w:tc>
          <w:tcPr>
            <w:tcW w:w="659" w:type="pct"/>
          </w:tcPr>
          <w:p w14:paraId="158A1D31" w14:textId="77777777" w:rsidR="0013642F" w:rsidRPr="004728ED" w:rsidRDefault="0013642F" w:rsidP="0013642F">
            <w:pPr>
              <w:spacing w:after="0"/>
              <w:contextualSpacing/>
              <w:jc w:val="center"/>
              <w:rPr>
                <w:szCs w:val="20"/>
              </w:rPr>
            </w:pPr>
            <w:r w:rsidRPr="004728ED">
              <w:rPr>
                <w:szCs w:val="20"/>
              </w:rPr>
              <w:sym w:font="Wingdings" w:char="F0FB"/>
            </w:r>
          </w:p>
        </w:tc>
        <w:tc>
          <w:tcPr>
            <w:tcW w:w="663" w:type="pct"/>
          </w:tcPr>
          <w:p w14:paraId="6E8E9360" w14:textId="77777777" w:rsidR="0013642F" w:rsidRPr="004728ED" w:rsidRDefault="0013642F" w:rsidP="0013642F">
            <w:pPr>
              <w:spacing w:after="0"/>
              <w:jc w:val="center"/>
              <w:rPr>
                <w:szCs w:val="20"/>
              </w:rPr>
            </w:pPr>
            <w:r w:rsidRPr="004728ED">
              <w:rPr>
                <w:szCs w:val="20"/>
              </w:rPr>
              <w:t>†</w:t>
            </w:r>
          </w:p>
        </w:tc>
        <w:tc>
          <w:tcPr>
            <w:tcW w:w="657" w:type="pct"/>
          </w:tcPr>
          <w:p w14:paraId="6EB8BB04" w14:textId="77777777" w:rsidR="0013642F" w:rsidRPr="004728ED" w:rsidRDefault="0013642F" w:rsidP="0013642F">
            <w:pPr>
              <w:spacing w:after="0"/>
              <w:jc w:val="center"/>
              <w:rPr>
                <w:szCs w:val="20"/>
              </w:rPr>
            </w:pPr>
            <w:r w:rsidRPr="004728ED">
              <w:rPr>
                <w:szCs w:val="20"/>
              </w:rPr>
              <w:t>†</w:t>
            </w:r>
          </w:p>
        </w:tc>
        <w:tc>
          <w:tcPr>
            <w:tcW w:w="661" w:type="pct"/>
          </w:tcPr>
          <w:p w14:paraId="3FEB6D15" w14:textId="77777777" w:rsidR="0013642F" w:rsidRPr="004728ED" w:rsidRDefault="0013642F" w:rsidP="0013642F">
            <w:pPr>
              <w:spacing w:after="0"/>
              <w:jc w:val="center"/>
              <w:rPr>
                <w:szCs w:val="20"/>
              </w:rPr>
            </w:pPr>
            <w:r w:rsidRPr="004728ED">
              <w:rPr>
                <w:szCs w:val="20"/>
              </w:rPr>
              <w:t>†</w:t>
            </w:r>
          </w:p>
        </w:tc>
      </w:tr>
    </w:tbl>
    <w:p w14:paraId="46496784" w14:textId="77777777" w:rsidR="0013642F" w:rsidRDefault="0013642F" w:rsidP="0013642F">
      <w:pPr>
        <w:rPr>
          <w:sz w:val="18"/>
          <w:szCs w:val="18"/>
        </w:rPr>
      </w:pPr>
      <w:r w:rsidRPr="004728ED">
        <w:rPr>
          <w:sz w:val="21"/>
        </w:rPr>
        <w:t xml:space="preserve">Legend: </w:t>
      </w:r>
      <w:r w:rsidRPr="004728ED">
        <w:rPr>
          <w:sz w:val="18"/>
          <w:szCs w:val="18"/>
        </w:rPr>
        <w:sym w:font="Wingdings 2" w:char="F050"/>
      </w:r>
      <w:r w:rsidRPr="004728ED">
        <w:rPr>
          <w:sz w:val="18"/>
          <w:szCs w:val="18"/>
        </w:rPr>
        <w:t xml:space="preserve"> Funded, </w:t>
      </w:r>
      <w:r w:rsidRPr="004728ED">
        <w:rPr>
          <w:sz w:val="18"/>
          <w:szCs w:val="18"/>
        </w:rPr>
        <w:sym w:font="Wingdings" w:char="F0FB"/>
      </w:r>
      <w:r w:rsidRPr="004728ED">
        <w:rPr>
          <w:sz w:val="18"/>
          <w:szCs w:val="18"/>
        </w:rPr>
        <w:t xml:space="preserve"> Not funded, † Funding decision pending</w:t>
      </w:r>
    </w:p>
    <w:p w14:paraId="6F35E8BB" w14:textId="77777777"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 MS Bold">
    <w:altName w:val="Trebuchet MS"/>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0D9F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F430C">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F430C">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BD535"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F430C">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6F430C">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5EF4EB8"/>
    <w:multiLevelType w:val="hybridMultilevel"/>
    <w:tmpl w:val="C1C2A090"/>
    <w:lvl w:ilvl="0" w:tplc="08864FE6">
      <w:start w:val="1"/>
      <w:numFmt w:val="decimal"/>
      <w:lvlText w:val="%1."/>
      <w:lvlJc w:val="left"/>
      <w:pPr>
        <w:ind w:left="390" w:hanging="360"/>
      </w:pPr>
      <w:rPr>
        <w:rFonts w:ascii="Arial" w:eastAsiaTheme="minorHAnsi" w:hAnsi="Arial" w:cs="Arial"/>
        <w:b/>
      </w:rPr>
    </w:lvl>
    <w:lvl w:ilvl="1" w:tplc="41E0C4CE">
      <w:start w:val="1"/>
      <w:numFmt w:val="lowerLetter"/>
      <w:lvlText w:val="%2."/>
      <w:lvlJc w:val="left"/>
      <w:pPr>
        <w:ind w:left="1070" w:hanging="360"/>
      </w:pPr>
      <w:rPr>
        <w:b/>
      </w:rPr>
    </w:lvl>
    <w:lvl w:ilvl="2" w:tplc="1009001B">
      <w:start w:val="1"/>
      <w:numFmt w:val="lowerRoman"/>
      <w:lvlText w:val="%3."/>
      <w:lvlJc w:val="right"/>
      <w:pPr>
        <w:ind w:left="1404" w:hanging="180"/>
      </w:pPr>
    </w:lvl>
    <w:lvl w:ilvl="3" w:tplc="1009000F" w:tentative="1">
      <w:start w:val="1"/>
      <w:numFmt w:val="decimal"/>
      <w:lvlText w:val="%4."/>
      <w:lvlJc w:val="left"/>
      <w:pPr>
        <w:ind w:left="2124" w:hanging="360"/>
      </w:pPr>
    </w:lvl>
    <w:lvl w:ilvl="4" w:tplc="10090019" w:tentative="1">
      <w:start w:val="1"/>
      <w:numFmt w:val="lowerLetter"/>
      <w:lvlText w:val="%5."/>
      <w:lvlJc w:val="left"/>
      <w:pPr>
        <w:ind w:left="2844" w:hanging="360"/>
      </w:pPr>
    </w:lvl>
    <w:lvl w:ilvl="5" w:tplc="1009001B" w:tentative="1">
      <w:start w:val="1"/>
      <w:numFmt w:val="lowerRoman"/>
      <w:lvlText w:val="%6."/>
      <w:lvlJc w:val="right"/>
      <w:pPr>
        <w:ind w:left="3564" w:hanging="180"/>
      </w:pPr>
    </w:lvl>
    <w:lvl w:ilvl="6" w:tplc="1009000F" w:tentative="1">
      <w:start w:val="1"/>
      <w:numFmt w:val="decimal"/>
      <w:lvlText w:val="%7."/>
      <w:lvlJc w:val="left"/>
      <w:pPr>
        <w:ind w:left="4284" w:hanging="360"/>
      </w:pPr>
    </w:lvl>
    <w:lvl w:ilvl="7" w:tplc="10090019" w:tentative="1">
      <w:start w:val="1"/>
      <w:numFmt w:val="lowerLetter"/>
      <w:lvlText w:val="%8."/>
      <w:lvlJc w:val="left"/>
      <w:pPr>
        <w:ind w:left="5004" w:hanging="360"/>
      </w:pPr>
    </w:lvl>
    <w:lvl w:ilvl="8" w:tplc="1009001B" w:tentative="1">
      <w:start w:val="1"/>
      <w:numFmt w:val="lowerRoman"/>
      <w:lvlText w:val="%9."/>
      <w:lvlJc w:val="right"/>
      <w:pPr>
        <w:ind w:left="5724" w:hanging="180"/>
      </w:pPr>
    </w:lvl>
  </w:abstractNum>
  <w:abstractNum w:abstractNumId="15"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6"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9" w15:restartNumberingAfterBreak="0">
    <w:nsid w:val="10D01BED"/>
    <w:multiLevelType w:val="hybridMultilevel"/>
    <w:tmpl w:val="A0BE1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1"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6"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5" w15:restartNumberingAfterBreak="0">
    <w:nsid w:val="56CF7C08"/>
    <w:multiLevelType w:val="hybridMultilevel"/>
    <w:tmpl w:val="135295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F479D"/>
    <w:multiLevelType w:val="hybridMultilevel"/>
    <w:tmpl w:val="173E1E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4"/>
  </w:num>
  <w:num w:numId="15">
    <w:abstractNumId w:val="44"/>
  </w:num>
  <w:num w:numId="16">
    <w:abstractNumId w:val="28"/>
  </w:num>
  <w:num w:numId="17">
    <w:abstractNumId w:val="32"/>
  </w:num>
  <w:num w:numId="18">
    <w:abstractNumId w:val="49"/>
  </w:num>
  <w:num w:numId="19">
    <w:abstractNumId w:val="30"/>
  </w:num>
  <w:num w:numId="20">
    <w:abstractNumId w:val="11"/>
  </w:num>
  <w:num w:numId="21">
    <w:abstractNumId w:val="9"/>
  </w:num>
  <w:num w:numId="22">
    <w:abstractNumId w:val="29"/>
  </w:num>
  <w:num w:numId="23">
    <w:abstractNumId w:val="47"/>
  </w:num>
  <w:num w:numId="24">
    <w:abstractNumId w:val="16"/>
  </w:num>
  <w:num w:numId="25">
    <w:abstractNumId w:val="27"/>
  </w:num>
  <w:num w:numId="26">
    <w:abstractNumId w:val="38"/>
  </w:num>
  <w:num w:numId="27">
    <w:abstractNumId w:val="21"/>
  </w:num>
  <w:num w:numId="28">
    <w:abstractNumId w:val="26"/>
  </w:num>
  <w:num w:numId="29">
    <w:abstractNumId w:val="18"/>
  </w:num>
  <w:num w:numId="30">
    <w:abstractNumId w:val="45"/>
  </w:num>
  <w:num w:numId="31">
    <w:abstractNumId w:val="40"/>
  </w:num>
  <w:num w:numId="32">
    <w:abstractNumId w:val="48"/>
    <w:lvlOverride w:ilvl="0">
      <w:startOverride w:val="1"/>
    </w:lvlOverride>
  </w:num>
  <w:num w:numId="33">
    <w:abstractNumId w:val="37"/>
    <w:lvlOverride w:ilvl="0">
      <w:startOverride w:val="1"/>
    </w:lvlOverride>
  </w:num>
  <w:num w:numId="34">
    <w:abstractNumId w:val="39"/>
  </w:num>
  <w:num w:numId="35">
    <w:abstractNumId w:val="25"/>
  </w:num>
  <w:num w:numId="36">
    <w:abstractNumId w:val="24"/>
  </w:num>
  <w:num w:numId="37">
    <w:abstractNumId w:val="23"/>
  </w:num>
  <w:num w:numId="38">
    <w:abstractNumId w:val="12"/>
  </w:num>
  <w:num w:numId="39">
    <w:abstractNumId w:val="46"/>
  </w:num>
  <w:num w:numId="40">
    <w:abstractNumId w:val="17"/>
  </w:num>
  <w:num w:numId="41">
    <w:abstractNumId w:val="41"/>
  </w:num>
  <w:num w:numId="42">
    <w:abstractNumId w:val="20"/>
  </w:num>
  <w:num w:numId="43">
    <w:abstractNumId w:val="36"/>
  </w:num>
  <w:num w:numId="44">
    <w:abstractNumId w:val="43"/>
  </w:num>
  <w:num w:numId="45">
    <w:abstractNumId w:val="22"/>
  </w:num>
  <w:num w:numId="46">
    <w:abstractNumId w:val="13"/>
  </w:num>
  <w:num w:numId="47">
    <w:abstractNumId w:val="33"/>
  </w:num>
  <w:num w:numId="48">
    <w:abstractNumId w:val="19"/>
  </w:num>
  <w:num w:numId="49">
    <w:abstractNumId w:val="35"/>
  </w:num>
  <w:num w:numId="50">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273E"/>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42F"/>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316"/>
    <w:rsid w:val="00216C7C"/>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1EC"/>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28ED"/>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1C5"/>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430C"/>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0A88"/>
    <w:rsid w:val="00891B28"/>
    <w:rsid w:val="00892C3F"/>
    <w:rsid w:val="008962B7"/>
    <w:rsid w:val="008964B0"/>
    <w:rsid w:val="00896DD7"/>
    <w:rsid w:val="008A483B"/>
    <w:rsid w:val="008A74F1"/>
    <w:rsid w:val="008B3F47"/>
    <w:rsid w:val="008C10C2"/>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15"/>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3DA5"/>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45A1"/>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978730780">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416708114">
      <w:bodyDiv w:val="1"/>
      <w:marLeft w:val="0"/>
      <w:marRight w:val="0"/>
      <w:marTop w:val="0"/>
      <w:marBottom w:val="0"/>
      <w:divBdr>
        <w:top w:val="none" w:sz="0" w:space="0" w:color="auto"/>
        <w:left w:val="none" w:sz="0" w:space="0" w:color="auto"/>
        <w:bottom w:val="none" w:sz="0" w:space="0" w:color="auto"/>
        <w:right w:val="none" w:sz="0" w:space="0" w:color="auto"/>
      </w:divBdr>
    </w:div>
    <w:div w:id="1646272474">
      <w:bodyDiv w:val="1"/>
      <w:marLeft w:val="0"/>
      <w:marRight w:val="0"/>
      <w:marTop w:val="0"/>
      <w:marBottom w:val="0"/>
      <w:divBdr>
        <w:top w:val="none" w:sz="0" w:space="0" w:color="auto"/>
        <w:left w:val="none" w:sz="0" w:space="0" w:color="auto"/>
        <w:bottom w:val="none" w:sz="0" w:space="0" w:color="auto"/>
        <w:right w:val="none" w:sz="0" w:space="0" w:color="auto"/>
      </w:divBdr>
    </w:div>
    <w:div w:id="1827239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nccn.org/professionals/physician_gls/pdf/breas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ema.europa.eu/documents/product-information/nerlynx-epar-product-information_en.pdf" TargetMode="External"/><Relationship Id="rId2" Type="http://schemas.openxmlformats.org/officeDocument/2006/relationships/numbering" Target="numbering.xml"/><Relationship Id="rId16" Type="http://schemas.openxmlformats.org/officeDocument/2006/relationships/hyperlink" Target="https://www.fda.gov/drugs/informationondrugs/approveddrugs/ucm567259.htm" TargetMode="External"/><Relationship Id="rId20" Type="http://schemas.openxmlformats.org/officeDocument/2006/relationships/hyperlink" Target="https://www.esmo.org/Guidelines/Breast-Cancer/Primary-Breast-Can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helancet.com/action/showPdf?pii=S1470-2045%2815%2900551-3" TargetMode="Externa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s://www.asco.org/practice-guidelines/quality-guidelines/guidelines/breast-cancer"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087870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084F-9F62-4133-8A94-C94B2200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2019-03-20T14:08:00Z</dcterms:modified>
</cp:coreProperties>
</file>