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E159780"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36EC37B" w:rsidR="00121EB1" w:rsidRPr="004728ED" w:rsidRDefault="00890A88" w:rsidP="004728ED">
            <w:pPr>
              <w:pStyle w:val="DocumentTitle"/>
              <w:tabs>
                <w:tab w:val="left" w:pos="1074"/>
              </w:tabs>
              <w:spacing w:before="0" w:after="0"/>
              <w:rPr>
                <w:sz w:val="18"/>
                <w:szCs w:val="20"/>
              </w:rPr>
            </w:pPr>
            <w:r w:rsidRPr="004728ED">
              <w:rPr>
                <w:sz w:val="18"/>
                <w:szCs w:val="20"/>
              </w:rPr>
              <w:t>pCODR 101</w:t>
            </w:r>
            <w:r w:rsidR="001E535E">
              <w:rPr>
                <w:sz w:val="18"/>
                <w:szCs w:val="20"/>
              </w:rPr>
              <w:t>73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53D11B0D" w:rsidR="00F369F8" w:rsidRPr="004728ED" w:rsidRDefault="001E535E" w:rsidP="00216C7C">
            <w:pPr>
              <w:pStyle w:val="DocumentTitle"/>
              <w:tabs>
                <w:tab w:val="left" w:pos="1074"/>
              </w:tabs>
              <w:spacing w:before="0" w:after="0"/>
              <w:rPr>
                <w:sz w:val="18"/>
                <w:szCs w:val="20"/>
              </w:rPr>
            </w:pPr>
            <w:r w:rsidRPr="001E535E">
              <w:rPr>
                <w:sz w:val="18"/>
                <w:szCs w:val="20"/>
              </w:rPr>
              <w:t>Trifluridine and Tipiracil</w:t>
            </w:r>
            <w:r>
              <w:rPr>
                <w:sz w:val="18"/>
                <w:szCs w:val="20"/>
              </w:rPr>
              <w:t xml:space="preserve"> (Lonsurf)</w:t>
            </w:r>
            <w:r w:rsidR="00986DF2">
              <w:rPr>
                <w:sz w:val="18"/>
                <w:szCs w:val="20"/>
              </w:rPr>
              <w:t xml:space="preserve"> Resubmission</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BD2EB3E" w:rsidR="00F369F8" w:rsidRPr="004728ED" w:rsidRDefault="001E535E" w:rsidP="00EB0EEF">
            <w:pPr>
              <w:pStyle w:val="DocumentTitle"/>
              <w:tabs>
                <w:tab w:val="left" w:pos="1074"/>
              </w:tabs>
              <w:spacing w:before="0" w:after="0"/>
              <w:rPr>
                <w:sz w:val="18"/>
                <w:szCs w:val="20"/>
              </w:rPr>
            </w:pPr>
            <w:r w:rsidRPr="001E535E">
              <w:rPr>
                <w:sz w:val="18"/>
                <w:szCs w:val="20"/>
              </w:rPr>
              <w:t>Metastatic Colorectal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DD34093" w:rsidR="001E535E" w:rsidRPr="00986DF2" w:rsidRDefault="001E535E" w:rsidP="004728ED">
            <w:pPr>
              <w:pStyle w:val="DocumentTitle"/>
              <w:tabs>
                <w:tab w:val="left" w:pos="1074"/>
              </w:tabs>
              <w:spacing w:before="0" w:after="0"/>
              <w:rPr>
                <w:sz w:val="18"/>
                <w:szCs w:val="20"/>
              </w:rPr>
            </w:pPr>
            <w:r w:rsidRPr="00986DF2">
              <w:rPr>
                <w:sz w:val="18"/>
                <w:szCs w:val="20"/>
              </w:rPr>
              <w:t>Treatment of adult patients with mCRC who have been previously treated with, or are not candidates for, available therapies including fluoropyrimidine-, oxaliplatin- and irinotecan-based chemotherapies, anti-VEGF biological agents, and, if RAS wild-type, anti-EGFR agents.</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4E1B39CD" w14:textId="722E3C10" w:rsidR="002117F4" w:rsidRPr="00986DF2" w:rsidRDefault="002117F4" w:rsidP="002117F4">
            <w:pPr>
              <w:pStyle w:val="DocumentTitle"/>
              <w:numPr>
                <w:ilvl w:val="0"/>
                <w:numId w:val="44"/>
              </w:numPr>
              <w:tabs>
                <w:tab w:val="left" w:pos="1074"/>
              </w:tabs>
              <w:spacing w:before="0" w:after="0"/>
              <w:rPr>
                <w:color w:val="000000"/>
                <w:sz w:val="18"/>
                <w:szCs w:val="18"/>
                <w:shd w:val="clear" w:color="auto" w:fill="FFFFFF"/>
              </w:rPr>
            </w:pPr>
            <w:r w:rsidRPr="00986DF2">
              <w:rPr>
                <w:color w:val="000000"/>
                <w:sz w:val="18"/>
                <w:szCs w:val="18"/>
                <w:shd w:val="clear" w:color="auto" w:fill="FFFFFF"/>
              </w:rPr>
              <w:t>PRECONNECT (</w:t>
            </w:r>
            <w:hyperlink r:id="rId14" w:history="1">
              <w:r w:rsidRPr="00986DF2">
                <w:rPr>
                  <w:rStyle w:val="Hyperlink"/>
                  <w:sz w:val="18"/>
                  <w:szCs w:val="18"/>
                  <w:shd w:val="clear" w:color="auto" w:fill="FFFFFF"/>
                </w:rPr>
                <w:t>NCT03306394</w:t>
              </w:r>
            </w:hyperlink>
            <w:r w:rsidRPr="00986DF2">
              <w:rPr>
                <w:color w:val="000000"/>
                <w:sz w:val="18"/>
                <w:szCs w:val="18"/>
                <w:shd w:val="clear" w:color="auto" w:fill="FFFFFF"/>
              </w:rPr>
              <w:t>)</w:t>
            </w:r>
          </w:p>
          <w:p w14:paraId="72C325E0" w14:textId="46B243DF" w:rsidR="002117F4" w:rsidRPr="00986DF2" w:rsidRDefault="00623308" w:rsidP="002117F4">
            <w:pPr>
              <w:pStyle w:val="DocumentTitle"/>
              <w:numPr>
                <w:ilvl w:val="0"/>
                <w:numId w:val="44"/>
              </w:numPr>
              <w:tabs>
                <w:tab w:val="left" w:pos="1074"/>
              </w:tabs>
              <w:spacing w:before="0" w:after="0"/>
              <w:rPr>
                <w:color w:val="000000"/>
                <w:sz w:val="18"/>
                <w:szCs w:val="18"/>
                <w:shd w:val="clear" w:color="auto" w:fill="FFFFFF"/>
              </w:rPr>
            </w:pPr>
            <w:hyperlink r:id="rId15" w:history="1">
              <w:r w:rsidR="00986DF2" w:rsidRPr="00986DF2">
                <w:rPr>
                  <w:rStyle w:val="Hyperlink"/>
                  <w:sz w:val="18"/>
                  <w:szCs w:val="18"/>
                  <w:shd w:val="clear" w:color="auto" w:fill="FFFFFF"/>
                </w:rPr>
                <w:t>Falcone et al, Ann Oncol, Volume 29, Issue suppl_5, 1 June 2018, mdy149.012</w:t>
              </w:r>
            </w:hyperlink>
          </w:p>
          <w:p w14:paraId="446E5235" w14:textId="37DBB4F7" w:rsidR="00986DF2" w:rsidRPr="00986DF2" w:rsidRDefault="00623308" w:rsidP="00986DF2">
            <w:pPr>
              <w:pStyle w:val="DocumentTitle"/>
              <w:numPr>
                <w:ilvl w:val="0"/>
                <w:numId w:val="44"/>
              </w:numPr>
              <w:tabs>
                <w:tab w:val="left" w:pos="1074"/>
              </w:tabs>
              <w:spacing w:before="0" w:after="0"/>
              <w:rPr>
                <w:color w:val="000000"/>
                <w:sz w:val="18"/>
                <w:szCs w:val="18"/>
                <w:shd w:val="clear" w:color="auto" w:fill="FFFFFF"/>
              </w:rPr>
            </w:pPr>
            <w:hyperlink r:id="rId16" w:history="1">
              <w:r w:rsidR="00986DF2" w:rsidRPr="00986DF2">
                <w:rPr>
                  <w:rStyle w:val="Hyperlink"/>
                  <w:sz w:val="18"/>
                  <w:szCs w:val="18"/>
                  <w:shd w:val="clear" w:color="auto" w:fill="FFFFFF"/>
                </w:rPr>
                <w:t>Falcone et al, J Clin Oncol 36, no. 4_suppl (February 2018) 803-803.</w:t>
              </w:r>
            </w:hyperlink>
          </w:p>
          <w:p w14:paraId="60D5AB8A" w14:textId="77777777" w:rsidR="002117F4" w:rsidRPr="00986DF2" w:rsidRDefault="002117F4" w:rsidP="00986DF2">
            <w:pPr>
              <w:pStyle w:val="DocumentTitle"/>
              <w:tabs>
                <w:tab w:val="left" w:pos="1074"/>
              </w:tabs>
              <w:spacing w:before="0" w:after="0"/>
              <w:rPr>
                <w:color w:val="000000"/>
                <w:sz w:val="18"/>
                <w:szCs w:val="18"/>
                <w:shd w:val="clear" w:color="auto" w:fill="FFFFFF"/>
              </w:rPr>
            </w:pPr>
          </w:p>
          <w:p w14:paraId="01B2F514" w14:textId="759AD6B6" w:rsidR="00986DF2" w:rsidRPr="00986DF2" w:rsidRDefault="00986DF2" w:rsidP="00986DF2">
            <w:pPr>
              <w:pStyle w:val="DocumentTitle"/>
              <w:numPr>
                <w:ilvl w:val="0"/>
                <w:numId w:val="44"/>
              </w:numPr>
              <w:tabs>
                <w:tab w:val="left" w:pos="1074"/>
              </w:tabs>
              <w:spacing w:before="0" w:after="0"/>
              <w:rPr>
                <w:color w:val="000000"/>
                <w:sz w:val="18"/>
                <w:szCs w:val="18"/>
                <w:shd w:val="clear" w:color="auto" w:fill="FFFFFF"/>
              </w:rPr>
            </w:pPr>
            <w:r w:rsidRPr="00986DF2">
              <w:rPr>
                <w:color w:val="000000"/>
                <w:sz w:val="18"/>
                <w:szCs w:val="18"/>
                <w:shd w:val="clear" w:color="auto" w:fill="FFFFFF"/>
              </w:rPr>
              <w:t>RECOURSE (</w:t>
            </w:r>
            <w:hyperlink r:id="rId17" w:history="1">
              <w:r w:rsidRPr="00986DF2">
                <w:rPr>
                  <w:rStyle w:val="Hyperlink"/>
                  <w:sz w:val="18"/>
                  <w:szCs w:val="18"/>
                  <w:shd w:val="clear" w:color="auto" w:fill="FFFFFF"/>
                </w:rPr>
                <w:t>NCT01607957</w:t>
              </w:r>
            </w:hyperlink>
            <w:r w:rsidRPr="00986DF2">
              <w:rPr>
                <w:color w:val="000000"/>
                <w:sz w:val="18"/>
                <w:szCs w:val="18"/>
                <w:shd w:val="clear" w:color="auto" w:fill="FFFFFF"/>
              </w:rPr>
              <w:t>)</w:t>
            </w:r>
          </w:p>
          <w:p w14:paraId="52AF8FBD" w14:textId="415477C8" w:rsidR="00CC380E" w:rsidRPr="00986DF2" w:rsidRDefault="00623308" w:rsidP="00986DF2">
            <w:pPr>
              <w:pStyle w:val="DocumentTitle"/>
              <w:numPr>
                <w:ilvl w:val="0"/>
                <w:numId w:val="44"/>
              </w:numPr>
              <w:tabs>
                <w:tab w:val="left" w:pos="1074"/>
              </w:tabs>
              <w:spacing w:before="0" w:after="0"/>
              <w:rPr>
                <w:color w:val="000000"/>
                <w:sz w:val="18"/>
                <w:szCs w:val="18"/>
                <w:shd w:val="clear" w:color="auto" w:fill="FFFFFF"/>
              </w:rPr>
            </w:pPr>
            <w:hyperlink r:id="rId18" w:history="1">
              <w:r w:rsidR="00986DF2" w:rsidRPr="00986DF2">
                <w:rPr>
                  <w:rStyle w:val="Hyperlink"/>
                  <w:sz w:val="18"/>
                  <w:szCs w:val="18"/>
                  <w:shd w:val="clear" w:color="auto" w:fill="FFFFFF"/>
                </w:rPr>
                <w:t>Ohtsu et al, J Clin Oncol 35, no. 4_suppl (February 2017) 775-775.</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7CDFECF7"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152EB06" w14:textId="6B2DEA21" w:rsidR="001E535E" w:rsidRPr="00986DF2" w:rsidRDefault="001E535E" w:rsidP="00890A88">
            <w:pPr>
              <w:pStyle w:val="DocumentTitle"/>
              <w:tabs>
                <w:tab w:val="left" w:pos="1074"/>
              </w:tabs>
              <w:spacing w:before="0" w:after="0"/>
              <w:rPr>
                <w:sz w:val="18"/>
                <w:szCs w:val="20"/>
              </w:rPr>
            </w:pPr>
            <w:r w:rsidRPr="00986DF2">
              <w:rPr>
                <w:sz w:val="18"/>
                <w:szCs w:val="20"/>
              </w:rPr>
              <w:t>January 23, 2018</w:t>
            </w:r>
          </w:p>
          <w:p w14:paraId="547CC765" w14:textId="0178B3B0" w:rsidR="001E535E" w:rsidRPr="00986DF2" w:rsidRDefault="00623308" w:rsidP="001E535E">
            <w:pPr>
              <w:pStyle w:val="DocumentTitle"/>
              <w:tabs>
                <w:tab w:val="left" w:pos="1074"/>
              </w:tabs>
              <w:spacing w:after="0"/>
              <w:rPr>
                <w:color w:val="C00000"/>
                <w:sz w:val="18"/>
                <w:szCs w:val="20"/>
              </w:rPr>
            </w:pPr>
            <w:hyperlink r:id="rId19" w:history="1">
              <w:r w:rsidR="001E535E" w:rsidRPr="00986DF2">
                <w:rPr>
                  <w:rStyle w:val="Hyperlink"/>
                  <w:sz w:val="18"/>
                  <w:szCs w:val="20"/>
                </w:rPr>
                <w:t>for the treatment of adult patients with metastatic colorectal cancer who have been previously treated with, or are not candidates for, available therapies including fluoropyrimidine-, oxaliplatin- and irinotecan-based chemotherapies, anti-VEGF biological agents, and, if RAS wild-type, anti-EGFR agents.</w:t>
              </w:r>
            </w:hyperlink>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01815C02" w14:textId="2A6C5E6E" w:rsidR="00275E1C" w:rsidRPr="0034727C" w:rsidRDefault="001E535E" w:rsidP="00890A88">
            <w:pPr>
              <w:pStyle w:val="DocumentTitle"/>
              <w:tabs>
                <w:tab w:val="left" w:pos="1074"/>
              </w:tabs>
              <w:spacing w:before="0" w:after="0"/>
              <w:rPr>
                <w:rStyle w:val="Hyperlink"/>
                <w:color w:val="auto"/>
                <w:sz w:val="18"/>
                <w:szCs w:val="20"/>
                <w:u w:val="none"/>
              </w:rPr>
            </w:pPr>
            <w:r w:rsidRPr="001E535E">
              <w:rPr>
                <w:sz w:val="18"/>
                <w:szCs w:val="20"/>
              </w:rPr>
              <w:t>September 22, 2015</w:t>
            </w:r>
          </w:p>
          <w:p w14:paraId="2EE07483" w14:textId="4B4E8184" w:rsidR="001E535E" w:rsidRPr="001E535E" w:rsidRDefault="00623308" w:rsidP="001E535E">
            <w:pPr>
              <w:pStyle w:val="DocumentTitle"/>
              <w:tabs>
                <w:tab w:val="left" w:pos="1074"/>
              </w:tabs>
              <w:spacing w:after="0"/>
              <w:rPr>
                <w:sz w:val="18"/>
                <w:szCs w:val="20"/>
              </w:rPr>
            </w:pPr>
            <w:hyperlink r:id="rId20" w:history="1">
              <w:r w:rsidR="001E535E" w:rsidRPr="001E535E">
                <w:rPr>
                  <w:rStyle w:val="Hyperlink"/>
                  <w:sz w:val="18"/>
                  <w:szCs w:val="20"/>
                </w:rPr>
                <w:t>For the treatment of patients with metastatic colorectal cancer who have been previously treated with fluoropyrimidine-oxaliplatin-and irinotecan-based chemotherapy, an anti-VEGF biological therapy, and if RAS wild-type, an anti-EGFR 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0733E73" w14:textId="72A1F799" w:rsidR="001E535E" w:rsidRPr="001E535E" w:rsidRDefault="001E535E" w:rsidP="001E535E">
            <w:pPr>
              <w:pStyle w:val="DocumentTitle"/>
              <w:tabs>
                <w:tab w:val="left" w:pos="1074"/>
              </w:tabs>
              <w:spacing w:before="0" w:after="0"/>
              <w:rPr>
                <w:sz w:val="18"/>
                <w:szCs w:val="18"/>
              </w:rPr>
            </w:pPr>
            <w:r w:rsidRPr="001E535E">
              <w:rPr>
                <w:sz w:val="18"/>
                <w:szCs w:val="18"/>
              </w:rPr>
              <w:t>April 25, 2016</w:t>
            </w:r>
          </w:p>
          <w:p w14:paraId="4382D7E4" w14:textId="4E298487" w:rsidR="001E535E" w:rsidRPr="001E535E" w:rsidRDefault="00623308" w:rsidP="001E535E">
            <w:pPr>
              <w:pStyle w:val="DocumentTitle"/>
              <w:tabs>
                <w:tab w:val="left" w:pos="1074"/>
              </w:tabs>
              <w:spacing w:after="0"/>
              <w:rPr>
                <w:color w:val="C00000"/>
                <w:sz w:val="18"/>
                <w:szCs w:val="18"/>
              </w:rPr>
            </w:pPr>
            <w:hyperlink r:id="rId21" w:history="1">
              <w:r w:rsidR="001E535E" w:rsidRPr="001E535E">
                <w:rPr>
                  <w:rStyle w:val="Hyperlink"/>
                  <w:sz w:val="18"/>
                  <w:szCs w:val="18"/>
                </w:rPr>
                <w:t>for the treatment of adult patients with metastatic colorectal cancer (CRC) who have been previously treated with, or are not considered candidates for, available therapies including fluoropyrimidine-, oxaliplatin- and irinotecan-based chemotherapies, anti-VEGF agents, and anti-EGFR agents.</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4FBC8400" w:rsidR="006431C5" w:rsidRPr="001E535E" w:rsidRDefault="00623308" w:rsidP="00993315">
            <w:pPr>
              <w:pStyle w:val="DocumentTitle"/>
              <w:tabs>
                <w:tab w:val="left" w:pos="1074"/>
              </w:tabs>
              <w:spacing w:before="0" w:after="0"/>
              <w:rPr>
                <w:sz w:val="18"/>
                <w:szCs w:val="20"/>
              </w:rPr>
            </w:pPr>
            <w:hyperlink r:id="rId22" w:history="1">
              <w:r w:rsidR="001E535E" w:rsidRPr="001E535E">
                <w:rPr>
                  <w:rStyle w:val="Hyperlink"/>
                  <w:sz w:val="18"/>
                  <w:szCs w:val="20"/>
                </w:rPr>
                <w:t>NCCN Colon Cancer Guidelines (for Patients).</w:t>
              </w:r>
            </w:hyperlink>
          </w:p>
          <w:p w14:paraId="668799DB" w14:textId="77777777" w:rsidR="0013642F" w:rsidRPr="001E535E" w:rsidRDefault="0013642F" w:rsidP="00993315">
            <w:pPr>
              <w:pStyle w:val="DocumentTitle"/>
              <w:tabs>
                <w:tab w:val="left" w:pos="1074"/>
              </w:tabs>
              <w:spacing w:before="0" w:after="0"/>
              <w:rPr>
                <w:sz w:val="18"/>
                <w:szCs w:val="20"/>
                <w:highlight w:val="yellow"/>
              </w:rPr>
            </w:pPr>
          </w:p>
          <w:p w14:paraId="17E99E46" w14:textId="68F56D3B" w:rsidR="0013642F" w:rsidRPr="001E535E" w:rsidRDefault="001E535E" w:rsidP="00993315">
            <w:pPr>
              <w:pStyle w:val="DocumentTitle"/>
              <w:tabs>
                <w:tab w:val="left" w:pos="1074"/>
              </w:tabs>
              <w:spacing w:before="0" w:after="0"/>
              <w:rPr>
                <w:sz w:val="18"/>
                <w:szCs w:val="18"/>
                <w:highlight w:val="yellow"/>
              </w:rPr>
            </w:pPr>
            <w:r w:rsidRPr="001E535E">
              <w:rPr>
                <w:sz w:val="18"/>
                <w:szCs w:val="18"/>
              </w:rPr>
              <w:t xml:space="preserve">ESMO </w:t>
            </w:r>
            <w:r w:rsidRPr="0034727C">
              <w:rPr>
                <w:sz w:val="18"/>
                <w:szCs w:val="18"/>
              </w:rPr>
              <w:t>Consensus Guidelines for the Management of Patients with Metastatic Colorectal Cancer</w:t>
            </w:r>
            <w:r w:rsidR="00993315" w:rsidRPr="0034727C">
              <w:rPr>
                <w:sz w:val="18"/>
                <w:szCs w:val="18"/>
              </w:rPr>
              <w:t xml:space="preserve">. </w:t>
            </w:r>
            <w:hyperlink r:id="rId23" w:history="1">
              <w:r w:rsidR="0034727C" w:rsidRPr="0034727C">
                <w:rPr>
                  <w:rStyle w:val="Hyperlink"/>
                  <w:sz w:val="18"/>
                  <w:szCs w:val="18"/>
                </w:rPr>
                <w:t>https://doi.org/10.1093/annonc/mdw235</w:t>
              </w:r>
            </w:hyperlink>
            <w:r w:rsidR="0034727C">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7704D85" w:rsidR="00420EEA" w:rsidRPr="001E535E" w:rsidRDefault="001E535E" w:rsidP="0013642F">
            <w:pPr>
              <w:pStyle w:val="DocumentTitle"/>
              <w:tabs>
                <w:tab w:val="left" w:pos="1074"/>
              </w:tabs>
              <w:spacing w:before="0" w:after="0"/>
              <w:rPr>
                <w:color w:val="C00000"/>
                <w:sz w:val="18"/>
                <w:szCs w:val="20"/>
                <w:highlight w:val="yellow"/>
              </w:rPr>
            </w:pPr>
            <w:r w:rsidRPr="001E535E">
              <w:rPr>
                <w:sz w:val="18"/>
                <w:szCs w:val="18"/>
              </w:rPr>
              <w:t xml:space="preserve">Currently, there are no funded treatment options for mCRC after chemotherapy, although for patients who have RAS wild type tumors, treatment with an EGFR inhibitor is available.  Best supportive care is available for all patients, or for patients who have private drug insurance, regorafenib is an option.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623308"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738EA6B" w14:textId="1102F35E" w:rsidR="001E535E" w:rsidRPr="00216316" w:rsidRDefault="0013642F" w:rsidP="001E535E">
      <w:pPr>
        <w:pStyle w:val="pCODR1Body"/>
        <w:spacing w:after="0"/>
        <w:ind w:left="360"/>
        <w:rPr>
          <w:rFonts w:ascii="Arial" w:hAnsi="Arial" w:cs="Arial"/>
          <w:sz w:val="18"/>
        </w:rPr>
      </w:pPr>
      <w:r w:rsidRPr="00216316">
        <w:rPr>
          <w:rFonts w:ascii="Arial" w:hAnsi="Arial" w:cs="Arial"/>
          <w:b/>
          <w:sz w:val="18"/>
        </w:rPr>
        <w:t xml:space="preserve">4.1. </w:t>
      </w:r>
      <w:r w:rsidR="004728ED" w:rsidRPr="00216316">
        <w:rPr>
          <w:rFonts w:ascii="Arial" w:hAnsi="Arial" w:cs="Arial"/>
          <w:sz w:val="18"/>
        </w:rPr>
        <w:t>I</w:t>
      </w:r>
      <w:r w:rsidR="001E535E" w:rsidRPr="001E535E">
        <w:rPr>
          <w:rFonts w:ascii="Arial" w:hAnsi="Arial" w:cs="Arial"/>
          <w:sz w:val="18"/>
        </w:rPr>
        <w:t>n regards to question 3.2 above, if trifluridine-tipiracil was a</w:t>
      </w:r>
      <w:r w:rsidR="001E535E">
        <w:rPr>
          <w:rFonts w:ascii="Arial" w:hAnsi="Arial" w:cs="Arial"/>
          <w:sz w:val="18"/>
        </w:rPr>
        <w:t>vailable, in clinical practice:</w:t>
      </w:r>
    </w:p>
    <w:p w14:paraId="50BEFB1F" w14:textId="7104255A"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4.1.1.</w:t>
      </w:r>
      <w:r w:rsidRPr="00216316">
        <w:rPr>
          <w:rFonts w:ascii="Arial" w:hAnsi="Arial" w:cs="Arial"/>
          <w:sz w:val="18"/>
        </w:rPr>
        <w:t xml:space="preserve"> </w:t>
      </w:r>
      <w:r w:rsidR="001E535E" w:rsidRPr="001E535E">
        <w:rPr>
          <w:rFonts w:ascii="Arial" w:hAnsi="Arial" w:cs="Arial"/>
          <w:sz w:val="18"/>
        </w:rPr>
        <w:t>Is there a subgroup of patients from the study population that would most benefit</w:t>
      </w:r>
      <w:r w:rsidR="000E625D">
        <w:rPr>
          <w:rFonts w:ascii="Arial" w:hAnsi="Arial" w:cs="Arial"/>
          <w:sz w:val="18"/>
        </w:rPr>
        <w:t>?</w:t>
      </w:r>
      <w:bookmarkStart w:id="8" w:name="_GoBack"/>
      <w:bookmarkEnd w:id="8"/>
    </w:p>
    <w:p w14:paraId="5552ECB6" w14:textId="48556779"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4.1.2.</w:t>
      </w:r>
      <w:r w:rsidRPr="00216316">
        <w:rPr>
          <w:rFonts w:ascii="Arial" w:hAnsi="Arial" w:cs="Arial"/>
          <w:sz w:val="18"/>
        </w:rPr>
        <w:t xml:space="preserve"> </w:t>
      </w:r>
      <w:r w:rsidR="001E535E" w:rsidRPr="001E535E">
        <w:rPr>
          <w:rFonts w:ascii="Arial" w:hAnsi="Arial" w:cs="Arial"/>
          <w:sz w:val="18"/>
        </w:rPr>
        <w:t xml:space="preserve">Is there a subgroup of patients from the study population </w:t>
      </w:r>
      <w:r w:rsidR="000E625D">
        <w:rPr>
          <w:rFonts w:ascii="Arial" w:hAnsi="Arial" w:cs="Arial"/>
          <w:sz w:val="18"/>
        </w:rPr>
        <w:t xml:space="preserve">for whom </w:t>
      </w:r>
      <w:r w:rsidR="001E535E" w:rsidRPr="001E535E">
        <w:rPr>
          <w:rFonts w:ascii="Arial" w:hAnsi="Arial" w:cs="Arial"/>
          <w:sz w:val="18"/>
        </w:rPr>
        <w:t xml:space="preserve">the </w:t>
      </w:r>
      <w:r w:rsidR="001E535E">
        <w:rPr>
          <w:rFonts w:ascii="Arial" w:hAnsi="Arial" w:cs="Arial"/>
          <w:sz w:val="18"/>
        </w:rPr>
        <w:t xml:space="preserve">new </w:t>
      </w:r>
      <w:r w:rsidR="001E535E" w:rsidRPr="001E535E">
        <w:rPr>
          <w:rFonts w:ascii="Arial" w:hAnsi="Arial" w:cs="Arial"/>
          <w:sz w:val="18"/>
        </w:rPr>
        <w:t>treatment should not be used?</w:t>
      </w:r>
    </w:p>
    <w:p w14:paraId="00F966F4" w14:textId="434956A3" w:rsidR="00B44453" w:rsidRPr="00216316" w:rsidRDefault="00B44453" w:rsidP="004728ED">
      <w:pPr>
        <w:pStyle w:val="pCODR1Body"/>
        <w:spacing w:after="0"/>
        <w:ind w:left="72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6F8D795D" w14:textId="77777777" w:rsidR="000028EA" w:rsidRDefault="000028EA" w:rsidP="00216316">
            <w:pPr>
              <w:pStyle w:val="pCODR01AppendixHeader"/>
              <w:spacing w:before="0" w:after="0"/>
              <w:rPr>
                <w:rFonts w:ascii="Arial" w:hAnsi="Arial" w:cs="Arial"/>
                <w:spacing w:val="0"/>
              </w:rPr>
            </w:pPr>
            <w:bookmarkStart w:id="9" w:name="_Appendix_A:_pCODR"/>
            <w:bookmarkStart w:id="10" w:name="_Toc439923603"/>
            <w:bookmarkEnd w:id="9"/>
          </w:p>
          <w:p w14:paraId="263B76BD" w14:textId="77777777" w:rsidR="001E535E" w:rsidRPr="00216316" w:rsidRDefault="001E535E" w:rsidP="00216316">
            <w:pPr>
              <w:pStyle w:val="pCODR01AppendixHeader"/>
              <w:spacing w:before="0" w:after="0"/>
              <w:rPr>
                <w:rFonts w:ascii="Arial" w:hAnsi="Arial" w:cs="Arial"/>
                <w:spacing w:val="0"/>
              </w:rPr>
            </w:pPr>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3FB6D413" w14:textId="77777777" w:rsidR="001E535E" w:rsidRDefault="001E535E">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12F0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23308">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23308">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93ED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23308">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23308">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removeDateAndTime/>
  <w:embedSystemFonts/>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23308"/>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ascopubs.org/doi/abs/10.1200/JCO.2017.35.4_suppl.775" TargetMode="External"/><Relationship Id="rId3" Type="http://schemas.openxmlformats.org/officeDocument/2006/relationships/styles" Target="styles.xml"/><Relationship Id="rId21" Type="http://schemas.openxmlformats.org/officeDocument/2006/relationships/hyperlink" Target="https://www.ema.europa.eu/en/medicines/human/EPAR/lonsur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linicaltrials.gov/ct2/show/NCT016079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copubs.org/doi/abs/10.1200/JCO.2018.36.4_suppl.803" TargetMode="External"/><Relationship Id="rId20" Type="http://schemas.openxmlformats.org/officeDocument/2006/relationships/hyperlink" Target="https://www.accessdata.fda.gov/drugsatfda_docs/nda/2015/207981Orig1s000Appr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oup.com/annonc/article/29/suppl_5/mdy149.012/5039273?searchresult=1" TargetMode="External"/><Relationship Id="rId23" Type="http://schemas.openxmlformats.org/officeDocument/2006/relationships/hyperlink" Target="https://doi.org/10.1093/annonc/mdw235" TargetMode="Externa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taihopharma.ca/en/our-products/products/"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3306394" TargetMode="External"/><Relationship Id="rId22" Type="http://schemas.openxmlformats.org/officeDocument/2006/relationships/hyperlink" Target="https://www.nccn.org/patients/guidelines/content/PDF/col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6D73-3EB0-4DC7-A3CD-F32C2E1C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2018-12-11T17:46:00Z</dcterms:modified>
</cp:coreProperties>
</file>