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32AD4" w14:textId="6E159780" w:rsidR="004C2D93" w:rsidRPr="00323732" w:rsidRDefault="00205435" w:rsidP="004C2D93">
      <w:pPr>
        <w:pStyle w:val="DocumentTitle"/>
        <w:tabs>
          <w:tab w:val="left" w:pos="1074"/>
        </w:tabs>
        <w:spacing w:after="240"/>
        <w:rPr>
          <w:color w:val="595959"/>
          <w:szCs w:val="20"/>
        </w:rPr>
      </w:pPr>
      <w:bookmarkStart w:id="0" w:name="_GoBack"/>
      <w:bookmarkEnd w:id="0"/>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9"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10"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1"/>
          <w:footerReference w:type="default" r:id="rId12"/>
          <w:headerReference w:type="first" r:id="rId13"/>
          <w:footerReference w:type="first" r:id="rId14"/>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5ADCBBD2" w:rsidR="00121EB1" w:rsidRPr="00A00639" w:rsidRDefault="00890A88" w:rsidP="000C7342">
            <w:pPr>
              <w:pStyle w:val="DocumentTitle"/>
              <w:tabs>
                <w:tab w:val="left" w:pos="1074"/>
              </w:tabs>
              <w:spacing w:before="0" w:after="0"/>
              <w:rPr>
                <w:sz w:val="18"/>
                <w:szCs w:val="20"/>
              </w:rPr>
            </w:pPr>
            <w:r w:rsidRPr="00A00639">
              <w:rPr>
                <w:sz w:val="18"/>
                <w:szCs w:val="20"/>
              </w:rPr>
              <w:t>pCODR 101</w:t>
            </w:r>
            <w:r w:rsidR="001E535E" w:rsidRPr="00A00639">
              <w:rPr>
                <w:sz w:val="18"/>
                <w:szCs w:val="20"/>
              </w:rPr>
              <w:t>7</w:t>
            </w:r>
            <w:r w:rsidR="00A00639" w:rsidRPr="00A00639">
              <w:rPr>
                <w:sz w:val="18"/>
                <w:szCs w:val="20"/>
              </w:rPr>
              <w:t>4</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4AB737D5" w:rsidR="00F369F8" w:rsidRPr="00A00639" w:rsidRDefault="00A00639" w:rsidP="00216C7C">
            <w:pPr>
              <w:pStyle w:val="DocumentTitle"/>
              <w:tabs>
                <w:tab w:val="left" w:pos="1074"/>
              </w:tabs>
              <w:spacing w:before="0" w:after="0"/>
              <w:rPr>
                <w:sz w:val="18"/>
                <w:szCs w:val="20"/>
              </w:rPr>
            </w:pPr>
            <w:r w:rsidRPr="00A00639">
              <w:rPr>
                <w:sz w:val="18"/>
                <w:szCs w:val="20"/>
              </w:rPr>
              <w:t>Olaparib (Lynparza)</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6B32AB01" w:rsidR="00F369F8" w:rsidRPr="00A00639" w:rsidRDefault="00A00639" w:rsidP="00EB0EEF">
            <w:pPr>
              <w:pStyle w:val="DocumentTitle"/>
              <w:tabs>
                <w:tab w:val="left" w:pos="1074"/>
              </w:tabs>
              <w:spacing w:before="0" w:after="0"/>
              <w:rPr>
                <w:sz w:val="18"/>
                <w:szCs w:val="20"/>
              </w:rPr>
            </w:pPr>
            <w:r w:rsidRPr="00A00639">
              <w:rPr>
                <w:sz w:val="18"/>
                <w:szCs w:val="20"/>
              </w:rPr>
              <w:t>Ovarian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D81848" w:rsidRDefault="00F369F8" w:rsidP="00EB0EEF">
            <w:pPr>
              <w:pStyle w:val="DocumentTitle"/>
              <w:tabs>
                <w:tab w:val="left" w:pos="1074"/>
              </w:tabs>
              <w:spacing w:before="80" w:after="80"/>
              <w:rPr>
                <w:color w:val="FFFFFF" w:themeColor="background1"/>
                <w:sz w:val="18"/>
                <w:szCs w:val="20"/>
              </w:rPr>
            </w:pPr>
            <w:r w:rsidRPr="00D81848">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0F63C66" w:rsidR="001E535E" w:rsidRPr="00A00639" w:rsidRDefault="00B317D9" w:rsidP="00C83A10">
            <w:pPr>
              <w:pStyle w:val="DocumentTitle"/>
              <w:tabs>
                <w:tab w:val="left" w:pos="1074"/>
              </w:tabs>
              <w:spacing w:before="0" w:after="0"/>
              <w:rPr>
                <w:sz w:val="18"/>
                <w:szCs w:val="20"/>
              </w:rPr>
            </w:pPr>
            <w:r>
              <w:rPr>
                <w:sz w:val="18"/>
                <w:szCs w:val="20"/>
              </w:rPr>
              <w:t>A</w:t>
            </w:r>
            <w:r w:rsidRPr="00B317D9">
              <w:rPr>
                <w:sz w:val="18"/>
                <w:szCs w:val="20"/>
              </w:rPr>
              <w:t>s monotherapy for the maintenance treatment of</w:t>
            </w:r>
            <w:r w:rsidR="00C83A10">
              <w:rPr>
                <w:sz w:val="18"/>
                <w:szCs w:val="20"/>
              </w:rPr>
              <w:t xml:space="preserve"> adult patients with advanced BRCA-mutated high-grade epithelial ovarian, fallopian </w:t>
            </w:r>
            <w:r w:rsidRPr="00B317D9">
              <w:rPr>
                <w:sz w:val="18"/>
                <w:szCs w:val="20"/>
              </w:rPr>
              <w:t xml:space="preserve">tube or primary peritoneal cancer who are in response (complete response or partial response) to first-line platinum-based chemotherapy, until disease progression or up to </w:t>
            </w:r>
            <w:r w:rsidR="00C83A10">
              <w:rPr>
                <w:sz w:val="18"/>
                <w:szCs w:val="20"/>
              </w:rPr>
              <w:t>two</w:t>
            </w:r>
            <w:r w:rsidRPr="00B317D9">
              <w:rPr>
                <w:sz w:val="18"/>
                <w:szCs w:val="20"/>
              </w:rPr>
              <w:t xml:space="preserve"> years if no evidence of disease.</w:t>
            </w:r>
            <w:r w:rsidR="00C83A10">
              <w:rPr>
                <w:sz w:val="18"/>
                <w:szCs w:val="20"/>
              </w:rPr>
              <w:t xml:space="preserve"> Patients must have confirmation of BRCA mutation (identified by either germline or tumour testing) before Lynparza treatment is initiated. </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D81848" w:rsidRDefault="00554ADB" w:rsidP="00EB0EEF">
            <w:pPr>
              <w:pStyle w:val="DocumentTitle"/>
              <w:tabs>
                <w:tab w:val="left" w:pos="1074"/>
              </w:tabs>
              <w:spacing w:before="0" w:after="0"/>
              <w:rPr>
                <w:color w:val="FFFFFF" w:themeColor="background1"/>
                <w:sz w:val="18"/>
                <w:szCs w:val="20"/>
              </w:rPr>
            </w:pPr>
            <w:r w:rsidRPr="00D81848">
              <w:rPr>
                <w:color w:val="FFFFFF" w:themeColor="background1"/>
                <w:sz w:val="18"/>
                <w:szCs w:val="20"/>
              </w:rPr>
              <w:t xml:space="preserve">Trial(s) </w:t>
            </w:r>
            <w:r w:rsidR="00D47251" w:rsidRPr="00D81848">
              <w:rPr>
                <w:color w:val="FFFFFF" w:themeColor="background1"/>
                <w:sz w:val="18"/>
                <w:szCs w:val="20"/>
              </w:rPr>
              <w:t>B</w:t>
            </w:r>
            <w:r w:rsidRPr="00D81848">
              <w:rPr>
                <w:color w:val="FFFFFF" w:themeColor="background1"/>
                <w:sz w:val="18"/>
                <w:szCs w:val="20"/>
              </w:rPr>
              <w:t xml:space="preserve">eing </w:t>
            </w:r>
            <w:r w:rsidR="00D47251" w:rsidRPr="00D81848">
              <w:rPr>
                <w:color w:val="FFFFFF" w:themeColor="background1"/>
                <w:sz w:val="18"/>
                <w:szCs w:val="20"/>
              </w:rPr>
              <w:t>S</w:t>
            </w:r>
            <w:r w:rsidRPr="00D81848">
              <w:rPr>
                <w:color w:val="FFFFFF" w:themeColor="background1"/>
                <w:sz w:val="18"/>
                <w:szCs w:val="20"/>
              </w:rPr>
              <w:t xml:space="preserve">ubmitted </w:t>
            </w:r>
            <w:r w:rsidR="00F92BE1" w:rsidRPr="00D81848">
              <w:rPr>
                <w:color w:val="FFFFFF" w:themeColor="background1"/>
                <w:sz w:val="18"/>
                <w:szCs w:val="20"/>
              </w:rPr>
              <w:t>to</w:t>
            </w:r>
            <w:r w:rsidRPr="00D81848">
              <w:rPr>
                <w:color w:val="FFFFFF" w:themeColor="background1"/>
                <w:sz w:val="18"/>
                <w:szCs w:val="20"/>
              </w:rPr>
              <w:t xml:space="preserve"> pCODR</w:t>
            </w:r>
            <w:r w:rsidR="00865015" w:rsidRPr="00D81848">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099576A1" w14:textId="77777777" w:rsidR="00A00639" w:rsidRPr="00A00639" w:rsidRDefault="00A00639" w:rsidP="002117F4">
            <w:pPr>
              <w:pStyle w:val="DocumentTitle"/>
              <w:numPr>
                <w:ilvl w:val="0"/>
                <w:numId w:val="44"/>
              </w:numPr>
              <w:tabs>
                <w:tab w:val="left" w:pos="1074"/>
              </w:tabs>
              <w:spacing w:before="0" w:after="0"/>
              <w:rPr>
                <w:color w:val="000000"/>
                <w:sz w:val="18"/>
                <w:szCs w:val="18"/>
                <w:shd w:val="clear" w:color="auto" w:fill="FFFFFF"/>
              </w:rPr>
            </w:pPr>
            <w:r w:rsidRPr="00A00639">
              <w:rPr>
                <w:color w:val="000000"/>
                <w:sz w:val="18"/>
                <w:szCs w:val="18"/>
                <w:shd w:val="clear" w:color="auto" w:fill="FFFFFF"/>
              </w:rPr>
              <w:t>SOLO-1 (</w:t>
            </w:r>
            <w:hyperlink r:id="rId15" w:tgtFrame="_blank" w:history="1">
              <w:r w:rsidRPr="00A00639">
                <w:rPr>
                  <w:rStyle w:val="Hyperlink"/>
                  <w:sz w:val="18"/>
                  <w:szCs w:val="18"/>
                  <w:bdr w:val="none" w:sz="0" w:space="0" w:color="auto" w:frame="1"/>
                  <w:shd w:val="clear" w:color="auto" w:fill="FFFFFF"/>
                </w:rPr>
                <w:t>NCT01844986</w:t>
              </w:r>
            </w:hyperlink>
            <w:r w:rsidRPr="00A00639">
              <w:rPr>
                <w:color w:val="000000"/>
                <w:sz w:val="18"/>
                <w:szCs w:val="18"/>
                <w:shd w:val="clear" w:color="auto" w:fill="FFFFFF"/>
              </w:rPr>
              <w:t>)</w:t>
            </w:r>
          </w:p>
          <w:p w14:paraId="52AF8FBD" w14:textId="208D0DD2" w:rsidR="00CC380E" w:rsidRPr="00A00639" w:rsidRDefault="00936963" w:rsidP="00A00639">
            <w:pPr>
              <w:pStyle w:val="DocumentTitle"/>
              <w:numPr>
                <w:ilvl w:val="0"/>
                <w:numId w:val="44"/>
              </w:numPr>
              <w:tabs>
                <w:tab w:val="left" w:pos="1074"/>
              </w:tabs>
              <w:spacing w:before="0" w:after="0"/>
              <w:rPr>
                <w:color w:val="000000"/>
                <w:sz w:val="18"/>
                <w:szCs w:val="18"/>
                <w:shd w:val="clear" w:color="auto" w:fill="FFFFFF"/>
              </w:rPr>
            </w:pPr>
            <w:hyperlink r:id="rId16" w:tgtFrame="_blank" w:history="1">
              <w:r w:rsidR="00A00639" w:rsidRPr="00A00639">
                <w:rPr>
                  <w:rStyle w:val="Hyperlink"/>
                  <w:sz w:val="18"/>
                  <w:szCs w:val="18"/>
                  <w:bdr w:val="none" w:sz="0" w:space="0" w:color="auto" w:frame="1"/>
                  <w:shd w:val="clear" w:color="auto" w:fill="FFFFFF"/>
                </w:rPr>
                <w:t>Moore et al, NEJM October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45F4A719"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2ABF6B00" w:rsidR="001E535E" w:rsidRPr="00A00639" w:rsidRDefault="00A00639" w:rsidP="00D81848">
            <w:pPr>
              <w:pStyle w:val="DocumentTitle"/>
              <w:tabs>
                <w:tab w:val="left" w:pos="1074"/>
              </w:tabs>
              <w:spacing w:before="0" w:after="0"/>
              <w:rPr>
                <w:sz w:val="18"/>
                <w:szCs w:val="20"/>
              </w:rPr>
            </w:pPr>
            <w:r w:rsidRPr="00A00639">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5A805441" w14:textId="5FDEFBEB" w:rsidR="001E535E" w:rsidRPr="00A00639" w:rsidRDefault="00A00639" w:rsidP="00A00639">
            <w:pPr>
              <w:pStyle w:val="DocumentTitle"/>
              <w:tabs>
                <w:tab w:val="left" w:pos="1074"/>
              </w:tabs>
              <w:spacing w:before="0" w:after="0"/>
              <w:rPr>
                <w:rStyle w:val="Hyperlink"/>
                <w:color w:val="auto"/>
                <w:sz w:val="18"/>
                <w:szCs w:val="18"/>
                <w:u w:val="none"/>
              </w:rPr>
            </w:pPr>
            <w:r w:rsidRPr="00A00639">
              <w:rPr>
                <w:sz w:val="18"/>
                <w:szCs w:val="18"/>
              </w:rPr>
              <w:t>August 17, 2017</w:t>
            </w:r>
          </w:p>
          <w:p w14:paraId="2EE07483" w14:textId="2DCE565D" w:rsidR="00A00639" w:rsidRPr="00A00639" w:rsidRDefault="00936963" w:rsidP="00A00639">
            <w:pPr>
              <w:pStyle w:val="DocumentTitle"/>
              <w:tabs>
                <w:tab w:val="left" w:pos="1074"/>
              </w:tabs>
              <w:spacing w:after="0"/>
              <w:rPr>
                <w:sz w:val="18"/>
                <w:szCs w:val="18"/>
              </w:rPr>
            </w:pPr>
            <w:hyperlink r:id="rId17" w:history="1">
              <w:r w:rsidR="00A00639" w:rsidRPr="00A00639">
                <w:rPr>
                  <w:rStyle w:val="Hyperlink"/>
                  <w:sz w:val="18"/>
                  <w:szCs w:val="18"/>
                </w:rPr>
                <w:t>for the maintenance treatment of adult patients with recurrent epithelial ovarian, fallopian tube or primary peritoneal cancer, who are in a complete or partial response to platinum-based chemotherapy.</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20733E73" w14:textId="389DC6B9" w:rsidR="001E535E" w:rsidRPr="00A00639" w:rsidRDefault="00A00639" w:rsidP="001E535E">
            <w:pPr>
              <w:pStyle w:val="DocumentTitle"/>
              <w:tabs>
                <w:tab w:val="left" w:pos="1074"/>
              </w:tabs>
              <w:spacing w:before="0" w:after="0"/>
              <w:rPr>
                <w:sz w:val="18"/>
                <w:szCs w:val="18"/>
              </w:rPr>
            </w:pPr>
            <w:r w:rsidRPr="00A00639">
              <w:rPr>
                <w:sz w:val="18"/>
                <w:szCs w:val="18"/>
              </w:rPr>
              <w:t>October 25</w:t>
            </w:r>
            <w:r w:rsidR="00D81848" w:rsidRPr="00A00639">
              <w:rPr>
                <w:sz w:val="18"/>
                <w:szCs w:val="18"/>
              </w:rPr>
              <w:t>, 2018</w:t>
            </w:r>
          </w:p>
          <w:p w14:paraId="4382D7E4" w14:textId="44EAFCA8" w:rsidR="001E535E" w:rsidRPr="00A00639" w:rsidRDefault="00936963" w:rsidP="00A00639">
            <w:pPr>
              <w:pStyle w:val="DocumentTitle"/>
              <w:tabs>
                <w:tab w:val="left" w:pos="1074"/>
              </w:tabs>
              <w:spacing w:after="0"/>
              <w:rPr>
                <w:sz w:val="18"/>
                <w:szCs w:val="18"/>
              </w:rPr>
            </w:pPr>
            <w:hyperlink r:id="rId18" w:history="1">
              <w:r w:rsidR="00A00639" w:rsidRPr="00A00639">
                <w:rPr>
                  <w:rStyle w:val="Hyperlink"/>
                  <w:sz w:val="18"/>
                  <w:szCs w:val="18"/>
                </w:rPr>
                <w:t>as monotherapy for the maintenance treatment of adult patients with platinum-sensitive relapsed BRCA-mutated (germline and/or somatic) high grade serous epithelial ovarian, fallopian tube, or primary peritoneal cancer who are in response (complete response or partial response) to platinum-based chemotherapy.</w:t>
              </w:r>
            </w:hyperlink>
            <w:r w:rsidR="00A00639" w:rsidRPr="00A00639">
              <w:rPr>
                <w:sz w:val="18"/>
                <w:szCs w:val="18"/>
              </w:rPr>
              <w:t xml:space="preserve"> </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35526D9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E99E46" w14:textId="621D6166" w:rsidR="0013642F" w:rsidRPr="00A16B03" w:rsidRDefault="009677BE" w:rsidP="009677BE">
            <w:pPr>
              <w:pStyle w:val="DocumentTitle"/>
              <w:tabs>
                <w:tab w:val="left" w:pos="1074"/>
              </w:tabs>
              <w:spacing w:before="0" w:after="0"/>
              <w:rPr>
                <w:sz w:val="18"/>
                <w:szCs w:val="18"/>
                <w:highlight w:val="yellow"/>
              </w:rPr>
            </w:pPr>
            <w:r w:rsidRPr="00C57E83">
              <w:rPr>
                <w:sz w:val="18"/>
                <w:szCs w:val="18"/>
              </w:rPr>
              <w:t xml:space="preserve"> </w:t>
            </w:r>
            <w:hyperlink r:id="rId19" w:history="1">
              <w:r w:rsidR="00C57E83" w:rsidRPr="00C57E83">
                <w:rPr>
                  <w:rStyle w:val="Hyperlink"/>
                  <w:sz w:val="18"/>
                  <w:szCs w:val="18"/>
                </w:rPr>
                <w:t>NCCN Ovarian Cancer Guidelines.</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614FE777" w:rsidR="00A16B03" w:rsidRPr="00A16B03" w:rsidRDefault="00A16B03" w:rsidP="0013642F">
            <w:pPr>
              <w:pStyle w:val="DocumentTitle"/>
              <w:tabs>
                <w:tab w:val="left" w:pos="1074"/>
              </w:tabs>
              <w:spacing w:before="0" w:after="0"/>
              <w:rPr>
                <w:color w:val="C00000"/>
                <w:sz w:val="18"/>
                <w:szCs w:val="20"/>
                <w:highlight w:val="yellow"/>
              </w:rPr>
            </w:pPr>
            <w:r w:rsidRPr="00E92C46">
              <w:rPr>
                <w:sz w:val="18"/>
                <w:szCs w:val="20"/>
              </w:rPr>
              <w:t>Monitoring and maintenance bevacizumab is the standard of care following platinum-based chemotherapy (e.g., bevacizumab in combination with paclitaxel and carboplatin) for these patients.</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936963"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6738EA6B" w14:textId="7BE801A1" w:rsidR="001E535E" w:rsidRPr="00216316" w:rsidRDefault="0013642F" w:rsidP="001E535E">
      <w:pPr>
        <w:pStyle w:val="pCODR1Body"/>
        <w:spacing w:after="0"/>
        <w:ind w:left="360"/>
        <w:rPr>
          <w:rFonts w:ascii="Arial" w:hAnsi="Arial" w:cs="Arial"/>
          <w:sz w:val="18"/>
        </w:rPr>
      </w:pPr>
      <w:r w:rsidRPr="00216316">
        <w:rPr>
          <w:rFonts w:ascii="Arial" w:hAnsi="Arial" w:cs="Arial"/>
          <w:b/>
          <w:sz w:val="18"/>
        </w:rPr>
        <w:t>4.1.</w:t>
      </w:r>
      <w:r w:rsidR="00A16B03" w:rsidRPr="00A16B03">
        <w:rPr>
          <w:rFonts w:ascii="Arial" w:hAnsi="Arial" w:cs="Arial"/>
          <w:sz w:val="18"/>
        </w:rPr>
        <w:tab/>
        <w:t>In regards to question 3.2 above, the eligibility criteria for the SOLO-1 trial included a specific patient population compared to the broader funding request. In clinical practice, is there evidence to extend the use of olaparib to (provided all other eligibility criteria are met):</w:t>
      </w:r>
    </w:p>
    <w:p w14:paraId="50BEFB1F" w14:textId="4088D29B" w:rsidR="004728ED" w:rsidRPr="00216316" w:rsidRDefault="004728ED" w:rsidP="004728ED">
      <w:pPr>
        <w:pStyle w:val="pCODR1Body"/>
        <w:spacing w:after="0"/>
        <w:ind w:left="720"/>
        <w:rPr>
          <w:rFonts w:ascii="Arial" w:hAnsi="Arial" w:cs="Arial"/>
          <w:sz w:val="18"/>
        </w:rPr>
      </w:pPr>
      <w:r w:rsidRPr="00216316">
        <w:rPr>
          <w:rFonts w:ascii="Arial" w:hAnsi="Arial" w:cs="Arial"/>
          <w:b/>
          <w:sz w:val="18"/>
        </w:rPr>
        <w:t>4.1.1.</w:t>
      </w:r>
      <w:r w:rsidRPr="00216316">
        <w:rPr>
          <w:rFonts w:ascii="Arial" w:hAnsi="Arial" w:cs="Arial"/>
          <w:sz w:val="18"/>
        </w:rPr>
        <w:t xml:space="preserve"> </w:t>
      </w:r>
      <w:r w:rsidR="00A16B03" w:rsidRPr="00A16B03">
        <w:rPr>
          <w:rFonts w:ascii="Arial" w:hAnsi="Arial" w:cs="Arial"/>
          <w:sz w:val="18"/>
        </w:rPr>
        <w:t>Patients who received bevacizumab during their first-line course of treatment, either in combination or as maintenance therapy following combination therapy</w:t>
      </w:r>
    </w:p>
    <w:p w14:paraId="5552ECB6" w14:textId="7B1D433B" w:rsidR="004728ED" w:rsidRDefault="004728ED" w:rsidP="004728ED">
      <w:pPr>
        <w:pStyle w:val="pCODR1Body"/>
        <w:spacing w:after="0"/>
        <w:ind w:left="720"/>
        <w:rPr>
          <w:rFonts w:ascii="Arial" w:hAnsi="Arial" w:cs="Arial"/>
          <w:sz w:val="18"/>
          <w:szCs w:val="18"/>
        </w:rPr>
      </w:pPr>
      <w:r w:rsidRPr="00216316">
        <w:rPr>
          <w:rFonts w:ascii="Arial" w:hAnsi="Arial" w:cs="Arial"/>
          <w:b/>
          <w:sz w:val="18"/>
        </w:rPr>
        <w:t>4.1.2.</w:t>
      </w:r>
      <w:r w:rsidR="00A16B03">
        <w:rPr>
          <w:rFonts w:ascii="Arial" w:hAnsi="Arial" w:cs="Arial"/>
          <w:sz w:val="18"/>
          <w:szCs w:val="18"/>
        </w:rPr>
        <w:t xml:space="preserve"> </w:t>
      </w:r>
      <w:r w:rsidR="00A16B03" w:rsidRPr="00A16B03">
        <w:rPr>
          <w:rFonts w:ascii="Arial" w:hAnsi="Arial" w:cs="Arial"/>
          <w:sz w:val="18"/>
          <w:szCs w:val="18"/>
        </w:rPr>
        <w:t>Patients with early stage disease (FIGO Stage I, IIA, IIB or IIC)</w:t>
      </w:r>
    </w:p>
    <w:p w14:paraId="3E977C00" w14:textId="073F6780" w:rsidR="00A16B03" w:rsidRPr="00216316" w:rsidRDefault="00A16B03" w:rsidP="00A16B03">
      <w:pPr>
        <w:pStyle w:val="pCODR1Body"/>
        <w:spacing w:after="0"/>
        <w:ind w:left="720"/>
        <w:rPr>
          <w:rFonts w:ascii="Arial" w:hAnsi="Arial" w:cs="Arial"/>
          <w:sz w:val="18"/>
        </w:rPr>
      </w:pPr>
      <w:r>
        <w:rPr>
          <w:rFonts w:ascii="Arial" w:hAnsi="Arial" w:cs="Arial"/>
          <w:b/>
          <w:sz w:val="18"/>
        </w:rPr>
        <w:t>4.1.3</w:t>
      </w:r>
      <w:r w:rsidRPr="00216316">
        <w:rPr>
          <w:rFonts w:ascii="Arial" w:hAnsi="Arial" w:cs="Arial"/>
          <w:b/>
          <w:sz w:val="18"/>
        </w:rPr>
        <w:t>.</w:t>
      </w:r>
      <w:r>
        <w:rPr>
          <w:rFonts w:ascii="Arial" w:hAnsi="Arial" w:cs="Arial"/>
          <w:sz w:val="18"/>
          <w:szCs w:val="18"/>
        </w:rPr>
        <w:t xml:space="preserve"> </w:t>
      </w:r>
      <w:r w:rsidRPr="00A16B03">
        <w:rPr>
          <w:rFonts w:ascii="Arial" w:hAnsi="Arial" w:cs="Arial"/>
          <w:sz w:val="18"/>
          <w:szCs w:val="18"/>
        </w:rPr>
        <w:t>Patients who have previously received chemotherapy (i.e., adjuvant) for prior diagnosis at an earlier stage for their ovarian, fallopian tube or primary peritoneal cancer</w:t>
      </w:r>
    </w:p>
    <w:p w14:paraId="099B4906" w14:textId="6FB623B8" w:rsidR="00A16B03" w:rsidRDefault="00A16B03" w:rsidP="00A16B03">
      <w:pPr>
        <w:pStyle w:val="pCODR1Body"/>
        <w:spacing w:after="0"/>
        <w:ind w:left="720"/>
        <w:rPr>
          <w:rFonts w:ascii="Arial" w:hAnsi="Arial" w:cs="Arial"/>
          <w:sz w:val="18"/>
          <w:szCs w:val="18"/>
        </w:rPr>
      </w:pPr>
      <w:r>
        <w:rPr>
          <w:rFonts w:ascii="Arial" w:hAnsi="Arial" w:cs="Arial"/>
          <w:b/>
          <w:sz w:val="18"/>
        </w:rPr>
        <w:t>4.1.4</w:t>
      </w:r>
      <w:r w:rsidRPr="00216316">
        <w:rPr>
          <w:rFonts w:ascii="Arial" w:hAnsi="Arial" w:cs="Arial"/>
          <w:b/>
          <w:sz w:val="18"/>
        </w:rPr>
        <w:t>.</w:t>
      </w:r>
      <w:r>
        <w:rPr>
          <w:rFonts w:ascii="Arial" w:hAnsi="Arial" w:cs="Arial"/>
          <w:sz w:val="18"/>
          <w:szCs w:val="18"/>
        </w:rPr>
        <w:t xml:space="preserve"> </w:t>
      </w:r>
      <w:r w:rsidRPr="00A16B03">
        <w:rPr>
          <w:rFonts w:ascii="Arial" w:hAnsi="Arial" w:cs="Arial"/>
          <w:sz w:val="18"/>
          <w:szCs w:val="18"/>
        </w:rPr>
        <w:t>Patients who are not surgical candidates, in the trial stage III patients must have had one attempt at optimal debulking surgery (upfront or interval debulking) and stage IV patients must have had either a biopsy and/or upfront or interval debulking surgery</w:t>
      </w:r>
    </w:p>
    <w:p w14:paraId="730FC222" w14:textId="61E432C0" w:rsidR="00A16B03" w:rsidRPr="00E92C46" w:rsidRDefault="00A16B03" w:rsidP="00A16B03">
      <w:pPr>
        <w:pStyle w:val="pCODR1Body"/>
        <w:spacing w:after="0"/>
        <w:ind w:left="720"/>
        <w:rPr>
          <w:rFonts w:ascii="Arial" w:hAnsi="Arial" w:cs="Arial"/>
          <w:sz w:val="18"/>
          <w:szCs w:val="18"/>
        </w:rPr>
      </w:pPr>
      <w:r w:rsidRPr="00E92C46">
        <w:rPr>
          <w:rFonts w:ascii="Arial" w:hAnsi="Arial" w:cs="Arial"/>
          <w:b/>
          <w:sz w:val="18"/>
        </w:rPr>
        <w:t>4.1.5.</w:t>
      </w:r>
      <w:r w:rsidRPr="00E92C46">
        <w:rPr>
          <w:rFonts w:ascii="Arial" w:hAnsi="Arial" w:cs="Arial"/>
          <w:sz w:val="18"/>
          <w:szCs w:val="18"/>
        </w:rPr>
        <w:t xml:space="preserve"> There is a small number of patients who may be allergic to or unable to tolerate platinum-based chemotherapy, and therefore would have non-platinum therapy.</w:t>
      </w:r>
    </w:p>
    <w:p w14:paraId="00F966F4" w14:textId="434956A3" w:rsidR="00B44453" w:rsidRPr="00216316" w:rsidRDefault="00B44453" w:rsidP="004728ED">
      <w:pPr>
        <w:pStyle w:val="pCODR1Body"/>
        <w:spacing w:after="0"/>
        <w:ind w:left="72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216316" w:rsidRPr="00216316" w14:paraId="5247003C" w14:textId="77777777" w:rsidTr="000028EA">
        <w:tc>
          <w:tcPr>
            <w:tcW w:w="10346" w:type="dxa"/>
          </w:tcPr>
          <w:p w14:paraId="6F8D795D" w14:textId="77777777" w:rsidR="000028EA" w:rsidRDefault="000028EA" w:rsidP="00216316">
            <w:pPr>
              <w:pStyle w:val="pCODR01AppendixHeader"/>
              <w:spacing w:before="0" w:after="0"/>
              <w:rPr>
                <w:rFonts w:ascii="Arial" w:hAnsi="Arial" w:cs="Arial"/>
                <w:spacing w:val="0"/>
              </w:rPr>
            </w:pPr>
            <w:bookmarkStart w:id="9" w:name="_Appendix_A:_pCODR"/>
            <w:bookmarkStart w:id="10" w:name="_Toc439923603"/>
            <w:bookmarkEnd w:id="9"/>
          </w:p>
          <w:p w14:paraId="263B76BD" w14:textId="77777777" w:rsidR="001E535E" w:rsidRPr="00216316" w:rsidRDefault="001E535E" w:rsidP="00216316">
            <w:pPr>
              <w:pStyle w:val="pCODR01AppendixHeader"/>
              <w:spacing w:before="0" w:after="0"/>
              <w:rPr>
                <w:rFonts w:ascii="Arial" w:hAnsi="Arial" w:cs="Arial"/>
                <w:spacing w:val="0"/>
              </w:rPr>
            </w:pPr>
          </w:p>
        </w:tc>
      </w:tr>
    </w:tbl>
    <w:p w14:paraId="68044900" w14:textId="77777777" w:rsidR="004728ED" w:rsidRDefault="004728ED" w:rsidP="004728ED">
      <w:pPr>
        <w:pStyle w:val="ListParagraph"/>
        <w:autoSpaceDE w:val="0"/>
        <w:autoSpaceDN w:val="0"/>
        <w:adjustRightInd w:val="0"/>
        <w:spacing w:after="0"/>
        <w:ind w:left="390"/>
        <w:rPr>
          <w:rFonts w:ascii="Arial" w:hAnsi="Arial" w:cs="Arial"/>
          <w:b/>
          <w:color w:val="FF0000"/>
          <w:sz w:val="18"/>
        </w:rPr>
      </w:pPr>
    </w:p>
    <w:p w14:paraId="1A4CAE1C" w14:textId="56EF6E3C" w:rsidR="000C7342" w:rsidRPr="00A16B03" w:rsidRDefault="000C7342" w:rsidP="000C7342">
      <w:pPr>
        <w:pStyle w:val="pCODR1Body"/>
        <w:spacing w:after="0"/>
        <w:ind w:left="360"/>
        <w:rPr>
          <w:rFonts w:ascii="Arial" w:hAnsi="Arial" w:cs="Arial"/>
          <w:sz w:val="18"/>
        </w:rPr>
      </w:pPr>
      <w:r w:rsidRPr="00A16B03">
        <w:rPr>
          <w:rFonts w:ascii="Arial" w:hAnsi="Arial" w:cs="Arial"/>
          <w:b/>
          <w:sz w:val="18"/>
        </w:rPr>
        <w:lastRenderedPageBreak/>
        <w:t xml:space="preserve">4.2. </w:t>
      </w:r>
      <w:r w:rsidR="00A16B03" w:rsidRPr="00A16B03">
        <w:rPr>
          <w:rFonts w:ascii="Arial" w:hAnsi="Arial" w:cs="Arial"/>
          <w:sz w:val="18"/>
          <w:szCs w:val="18"/>
        </w:rPr>
        <w:t>In regards to question 3.4 above, please consider the optimal sequencing of treatment for patients following olaparib monotherapy maintenance in this setting:</w:t>
      </w:r>
    </w:p>
    <w:p w14:paraId="48E3EFDE" w14:textId="249798F8" w:rsidR="00A16B03" w:rsidRPr="00A16B03" w:rsidRDefault="000C7342" w:rsidP="000C7342">
      <w:pPr>
        <w:pStyle w:val="pCODR1Body"/>
        <w:spacing w:after="0"/>
        <w:ind w:left="720"/>
        <w:rPr>
          <w:rFonts w:ascii="Arial" w:hAnsi="Arial" w:cs="Arial"/>
          <w:sz w:val="18"/>
        </w:rPr>
      </w:pPr>
      <w:r w:rsidRPr="00A16B03">
        <w:rPr>
          <w:rFonts w:ascii="Arial" w:hAnsi="Arial" w:cs="Arial"/>
          <w:b/>
          <w:sz w:val="18"/>
        </w:rPr>
        <w:t>4.2.1.</w:t>
      </w:r>
      <w:r w:rsidR="00A16B03" w:rsidRPr="00A16B03">
        <w:rPr>
          <w:rFonts w:ascii="Arial" w:hAnsi="Arial" w:cs="Arial"/>
          <w:b/>
          <w:sz w:val="18"/>
        </w:rPr>
        <w:t xml:space="preserve"> </w:t>
      </w:r>
      <w:r w:rsidR="00A16B03" w:rsidRPr="00A16B03">
        <w:rPr>
          <w:rFonts w:ascii="Arial" w:hAnsi="Arial" w:cs="Arial"/>
          <w:sz w:val="18"/>
        </w:rPr>
        <w:t>What treatment options would be available to patients upon progression of olaparib?</w:t>
      </w:r>
    </w:p>
    <w:p w14:paraId="0605CB96" w14:textId="34F13528" w:rsidR="000C7342" w:rsidRPr="00A16B03" w:rsidRDefault="000C7342" w:rsidP="000C7342">
      <w:pPr>
        <w:pStyle w:val="pCODR1Body"/>
        <w:spacing w:after="0"/>
        <w:ind w:left="720"/>
        <w:rPr>
          <w:rFonts w:ascii="Arial" w:hAnsi="Arial" w:cs="Arial"/>
          <w:color w:val="FF0000"/>
          <w:sz w:val="18"/>
          <w:szCs w:val="18"/>
        </w:rPr>
      </w:pPr>
      <w:r w:rsidRPr="00A16B03">
        <w:rPr>
          <w:rFonts w:ascii="Arial" w:hAnsi="Arial" w:cs="Arial"/>
          <w:b/>
          <w:sz w:val="18"/>
        </w:rPr>
        <w:t>4.2.2.</w:t>
      </w:r>
      <w:r w:rsidRPr="00A16B03">
        <w:rPr>
          <w:rFonts w:ascii="Arial" w:hAnsi="Arial" w:cs="Arial"/>
          <w:sz w:val="18"/>
        </w:rPr>
        <w:t xml:space="preserve"> </w:t>
      </w:r>
      <w:r w:rsidR="00A16B03" w:rsidRPr="00A16B03">
        <w:rPr>
          <w:rFonts w:ascii="Arial" w:hAnsi="Arial" w:cs="Arial"/>
          <w:sz w:val="18"/>
          <w:szCs w:val="18"/>
        </w:rPr>
        <w:t>Is it appropriate to use olaparib as second-line treatment for platinum-sensitive disease, as per the previous pERC recommendation for olaparib (as monotherapy maintenance treatment of adult patients with platinum-sensitive relapsed BRCA-mutated epithelial ovarian, fallopian tube or primary peritoneal cancer who are in response to platinum-based chemotherapy)?</w:t>
      </w:r>
    </w:p>
    <w:p w14:paraId="275FE52D" w14:textId="77777777" w:rsidR="000C7342" w:rsidRPr="00216316" w:rsidRDefault="000C7342" w:rsidP="000C7342">
      <w:pPr>
        <w:pStyle w:val="pCODR1Body"/>
        <w:spacing w:after="0"/>
        <w:ind w:left="72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0C7342" w:rsidRPr="00216316" w14:paraId="2596075C" w14:textId="77777777" w:rsidTr="00923B5F">
        <w:tc>
          <w:tcPr>
            <w:tcW w:w="10346" w:type="dxa"/>
          </w:tcPr>
          <w:p w14:paraId="24E7C538" w14:textId="77777777" w:rsidR="000C7342" w:rsidRDefault="000C7342" w:rsidP="00923B5F">
            <w:pPr>
              <w:pStyle w:val="pCODR01AppendixHeader"/>
              <w:spacing w:before="0" w:after="0"/>
              <w:rPr>
                <w:rFonts w:ascii="Arial" w:hAnsi="Arial" w:cs="Arial"/>
                <w:spacing w:val="0"/>
              </w:rPr>
            </w:pPr>
          </w:p>
          <w:p w14:paraId="6A85AEF6" w14:textId="77777777" w:rsidR="000C7342" w:rsidRPr="00216316" w:rsidRDefault="000C7342" w:rsidP="00923B5F">
            <w:pPr>
              <w:pStyle w:val="pCODR01AppendixHeader"/>
              <w:spacing w:before="0" w:after="0"/>
              <w:rPr>
                <w:rFonts w:ascii="Arial" w:hAnsi="Arial" w:cs="Arial"/>
                <w:spacing w:val="0"/>
              </w:rPr>
            </w:pPr>
          </w:p>
        </w:tc>
      </w:tr>
    </w:tbl>
    <w:p w14:paraId="5DCC5E43" w14:textId="77777777" w:rsidR="00A16B03" w:rsidRDefault="00A16B03">
      <w:pPr>
        <w:rPr>
          <w:b/>
          <w:color w:val="0067B9"/>
          <w:sz w:val="24"/>
          <w:szCs w:val="28"/>
        </w:rPr>
      </w:pPr>
    </w:p>
    <w:p w14:paraId="04492010" w14:textId="5B9EDA9C" w:rsidR="00A16B03" w:rsidRPr="00A16B03" w:rsidRDefault="00A16B03" w:rsidP="00A16B03">
      <w:pPr>
        <w:pStyle w:val="pCODR1Body"/>
        <w:spacing w:after="0"/>
        <w:ind w:left="360"/>
        <w:rPr>
          <w:rFonts w:ascii="Arial" w:hAnsi="Arial" w:cs="Arial"/>
          <w:sz w:val="18"/>
        </w:rPr>
      </w:pPr>
      <w:r w:rsidRPr="00A16B03">
        <w:rPr>
          <w:rFonts w:ascii="Arial" w:hAnsi="Arial" w:cs="Arial"/>
          <w:b/>
          <w:sz w:val="18"/>
        </w:rPr>
        <w:t xml:space="preserve">4.3. </w:t>
      </w:r>
      <w:r w:rsidRPr="00A16B03">
        <w:rPr>
          <w:rFonts w:ascii="Arial" w:hAnsi="Arial" w:cs="Arial"/>
          <w:sz w:val="18"/>
          <w:szCs w:val="18"/>
        </w:rPr>
        <w:t>In clinical practice, if olaparib was available:</w:t>
      </w:r>
    </w:p>
    <w:p w14:paraId="045FB2A0" w14:textId="221F398C" w:rsidR="00A16B03" w:rsidRPr="00A16B03" w:rsidRDefault="00A16B03" w:rsidP="00A16B03">
      <w:pPr>
        <w:pStyle w:val="pCODR1Body"/>
        <w:spacing w:after="0"/>
        <w:ind w:left="720"/>
        <w:rPr>
          <w:rFonts w:ascii="Arial" w:hAnsi="Arial" w:cs="Arial"/>
          <w:sz w:val="18"/>
        </w:rPr>
      </w:pPr>
      <w:r w:rsidRPr="00A16B03">
        <w:rPr>
          <w:rFonts w:ascii="Arial" w:hAnsi="Arial" w:cs="Arial"/>
          <w:b/>
          <w:sz w:val="18"/>
        </w:rPr>
        <w:t xml:space="preserve">4.3.1. </w:t>
      </w:r>
      <w:r w:rsidRPr="00A16B03">
        <w:rPr>
          <w:rFonts w:ascii="Arial" w:hAnsi="Arial" w:cs="Arial"/>
          <w:sz w:val="18"/>
        </w:rPr>
        <w:t>How frequently should disease be assessed while on olaparib?</w:t>
      </w:r>
    </w:p>
    <w:p w14:paraId="66544910" w14:textId="2611D831" w:rsidR="00A16B03" w:rsidRPr="00A16B03" w:rsidRDefault="00A16B03" w:rsidP="00A16B03">
      <w:pPr>
        <w:pStyle w:val="pCODR1Body"/>
        <w:spacing w:after="0"/>
        <w:ind w:left="720"/>
        <w:rPr>
          <w:rFonts w:ascii="Arial" w:hAnsi="Arial" w:cs="Arial"/>
          <w:color w:val="FF0000"/>
          <w:sz w:val="18"/>
          <w:szCs w:val="18"/>
        </w:rPr>
      </w:pPr>
      <w:r w:rsidRPr="00A16B03">
        <w:rPr>
          <w:rFonts w:ascii="Arial" w:hAnsi="Arial" w:cs="Arial"/>
          <w:b/>
          <w:sz w:val="18"/>
        </w:rPr>
        <w:t>4.3.2.</w:t>
      </w:r>
      <w:r w:rsidRPr="00A16B03">
        <w:rPr>
          <w:rFonts w:ascii="Arial" w:hAnsi="Arial" w:cs="Arial"/>
          <w:sz w:val="18"/>
        </w:rPr>
        <w:t xml:space="preserve"> </w:t>
      </w:r>
      <w:r w:rsidRPr="00A16B03">
        <w:rPr>
          <w:rFonts w:ascii="Arial" w:hAnsi="Arial" w:cs="Arial"/>
          <w:sz w:val="18"/>
          <w:szCs w:val="18"/>
        </w:rPr>
        <w:t>What are the stopping rules for olaparib (e.g., rising CA-125 levels or combination of rising CA-125 levels and radiological progression)?</w:t>
      </w:r>
    </w:p>
    <w:p w14:paraId="24F49B86" w14:textId="2E06B43C" w:rsidR="00A16B03" w:rsidRPr="00A16B03" w:rsidRDefault="00A16B03" w:rsidP="00A16B03">
      <w:pPr>
        <w:pStyle w:val="pCODR1Body"/>
        <w:spacing w:after="0"/>
        <w:ind w:left="720"/>
        <w:rPr>
          <w:rFonts w:ascii="Arial" w:hAnsi="Arial" w:cs="Arial"/>
          <w:color w:val="FF0000"/>
          <w:sz w:val="18"/>
          <w:szCs w:val="18"/>
        </w:rPr>
      </w:pPr>
      <w:r w:rsidRPr="00A16B03">
        <w:rPr>
          <w:rFonts w:ascii="Arial" w:hAnsi="Arial" w:cs="Arial"/>
          <w:b/>
          <w:sz w:val="18"/>
        </w:rPr>
        <w:t>4.3.3.</w:t>
      </w:r>
      <w:r w:rsidRPr="00A16B03">
        <w:rPr>
          <w:rFonts w:ascii="Arial" w:hAnsi="Arial" w:cs="Arial"/>
          <w:sz w:val="18"/>
        </w:rPr>
        <w:t xml:space="preserve"> </w:t>
      </w:r>
      <w:r w:rsidRPr="00A16B03">
        <w:rPr>
          <w:rFonts w:ascii="Arial" w:hAnsi="Arial" w:cs="Arial"/>
          <w:sz w:val="18"/>
          <w:szCs w:val="18"/>
        </w:rPr>
        <w:t>Whether olaparib could be considered for patients who have completed platinum based chemotherapy more than eight weeks ago and what maximum time between completion of chemotherapy and commencement of olaparib would be appropriate?</w:t>
      </w:r>
    </w:p>
    <w:p w14:paraId="4A83D9B5" w14:textId="77777777" w:rsidR="00A16B03" w:rsidRPr="00216316" w:rsidRDefault="00A16B03" w:rsidP="00A16B03">
      <w:pPr>
        <w:pStyle w:val="pCODR1Body"/>
        <w:spacing w:after="0"/>
        <w:ind w:left="72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A16B03" w:rsidRPr="00216316" w14:paraId="44CB93D7" w14:textId="77777777" w:rsidTr="006B4B88">
        <w:tc>
          <w:tcPr>
            <w:tcW w:w="10346" w:type="dxa"/>
          </w:tcPr>
          <w:p w14:paraId="3F43C800" w14:textId="77777777" w:rsidR="00A16B03" w:rsidRDefault="00A16B03" w:rsidP="006B4B88">
            <w:pPr>
              <w:pStyle w:val="pCODR01AppendixHeader"/>
              <w:spacing w:before="0" w:after="0"/>
              <w:rPr>
                <w:rFonts w:ascii="Arial" w:hAnsi="Arial" w:cs="Arial"/>
                <w:spacing w:val="0"/>
              </w:rPr>
            </w:pPr>
          </w:p>
          <w:p w14:paraId="265C7A46" w14:textId="77777777" w:rsidR="00A16B03" w:rsidRPr="00216316" w:rsidRDefault="00A16B03" w:rsidP="006B4B88">
            <w:pPr>
              <w:pStyle w:val="pCODR01AppendixHeader"/>
              <w:spacing w:before="0" w:after="0"/>
              <w:rPr>
                <w:rFonts w:ascii="Arial" w:hAnsi="Arial" w:cs="Arial"/>
                <w:spacing w:val="0"/>
              </w:rPr>
            </w:pPr>
          </w:p>
        </w:tc>
      </w:tr>
    </w:tbl>
    <w:p w14:paraId="37C71274" w14:textId="77777777" w:rsidR="00A16B03" w:rsidRDefault="00A16B03" w:rsidP="00A16B03">
      <w:pPr>
        <w:rPr>
          <w:b/>
          <w:color w:val="0067B9"/>
          <w:sz w:val="24"/>
          <w:szCs w:val="28"/>
        </w:rPr>
      </w:pPr>
    </w:p>
    <w:p w14:paraId="64E71F1B" w14:textId="07E5FDD4" w:rsidR="00A16B03" w:rsidRPr="00A16B03" w:rsidRDefault="00A16B03" w:rsidP="00A16B03">
      <w:pPr>
        <w:pStyle w:val="pCODR1Body"/>
        <w:spacing w:after="0"/>
        <w:ind w:left="360"/>
        <w:rPr>
          <w:rFonts w:ascii="Arial" w:hAnsi="Arial" w:cs="Arial"/>
          <w:color w:val="FF0000"/>
          <w:sz w:val="18"/>
          <w:szCs w:val="18"/>
        </w:rPr>
      </w:pPr>
      <w:r w:rsidRPr="00A16B03">
        <w:rPr>
          <w:rFonts w:ascii="Arial" w:hAnsi="Arial" w:cs="Arial"/>
          <w:b/>
          <w:sz w:val="18"/>
        </w:rPr>
        <w:t>4.</w:t>
      </w:r>
      <w:r>
        <w:rPr>
          <w:rFonts w:ascii="Arial" w:hAnsi="Arial" w:cs="Arial"/>
          <w:b/>
          <w:sz w:val="18"/>
        </w:rPr>
        <w:t>4</w:t>
      </w:r>
      <w:r w:rsidRPr="00A16B03">
        <w:rPr>
          <w:rFonts w:ascii="Arial" w:hAnsi="Arial" w:cs="Arial"/>
          <w:b/>
          <w:sz w:val="18"/>
        </w:rPr>
        <w:t xml:space="preserve">. </w:t>
      </w:r>
      <w:r w:rsidRPr="00A16B03">
        <w:rPr>
          <w:rFonts w:ascii="Arial" w:hAnsi="Arial" w:cs="Arial"/>
          <w:sz w:val="18"/>
        </w:rPr>
        <w:t>In the SOLO-1 trial, eligible patients had a deleterious or suspected deleterious germline or somatic BRCA1/2 mutation. In clinical practice, what definitions of deleterious BRCA mutation are used?</w:t>
      </w:r>
    </w:p>
    <w:p w14:paraId="11A12A26" w14:textId="77777777" w:rsidR="00A16B03" w:rsidRPr="00216316" w:rsidRDefault="00A16B03" w:rsidP="00A16B03">
      <w:pPr>
        <w:pStyle w:val="pCODR1Body"/>
        <w:spacing w:after="0"/>
        <w:ind w:left="72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A16B03" w:rsidRPr="00E92C46" w14:paraId="20DCFAFA" w14:textId="77777777" w:rsidTr="006B4B88">
        <w:tc>
          <w:tcPr>
            <w:tcW w:w="10346" w:type="dxa"/>
          </w:tcPr>
          <w:p w14:paraId="6EDAB763" w14:textId="77777777" w:rsidR="00A16B03" w:rsidRPr="00E92C46" w:rsidRDefault="00A16B03" w:rsidP="006B4B88">
            <w:pPr>
              <w:pStyle w:val="pCODR01AppendixHeader"/>
              <w:spacing w:before="0" w:after="0"/>
              <w:rPr>
                <w:rFonts w:ascii="Arial" w:hAnsi="Arial" w:cs="Arial"/>
                <w:spacing w:val="0"/>
              </w:rPr>
            </w:pPr>
          </w:p>
          <w:p w14:paraId="57BA4B06" w14:textId="77777777" w:rsidR="00A16B03" w:rsidRPr="00E92C46" w:rsidRDefault="00A16B03" w:rsidP="006B4B88">
            <w:pPr>
              <w:pStyle w:val="pCODR01AppendixHeader"/>
              <w:spacing w:before="0" w:after="0"/>
              <w:rPr>
                <w:rFonts w:ascii="Arial" w:hAnsi="Arial" w:cs="Arial"/>
                <w:spacing w:val="0"/>
              </w:rPr>
            </w:pPr>
          </w:p>
        </w:tc>
      </w:tr>
    </w:tbl>
    <w:p w14:paraId="10DD481F" w14:textId="77777777" w:rsidR="00A16B03" w:rsidRPr="00E92C46" w:rsidRDefault="00A16B03" w:rsidP="00A16B03">
      <w:pPr>
        <w:pStyle w:val="pCODR1Body"/>
        <w:spacing w:after="0"/>
        <w:ind w:left="360"/>
        <w:rPr>
          <w:rFonts w:ascii="Arial" w:hAnsi="Arial" w:cs="Arial"/>
          <w:b/>
          <w:sz w:val="18"/>
        </w:rPr>
      </w:pPr>
    </w:p>
    <w:p w14:paraId="62C64998" w14:textId="5E41AEA7" w:rsidR="00A16B03" w:rsidRPr="00E92C46" w:rsidRDefault="00A16B03" w:rsidP="00A16B03">
      <w:pPr>
        <w:pStyle w:val="pCODR1Body"/>
        <w:spacing w:after="0"/>
        <w:ind w:left="360"/>
        <w:rPr>
          <w:rFonts w:ascii="Arial" w:hAnsi="Arial" w:cs="Arial"/>
          <w:sz w:val="18"/>
          <w:szCs w:val="18"/>
        </w:rPr>
      </w:pPr>
      <w:r w:rsidRPr="00E92C46">
        <w:rPr>
          <w:rFonts w:ascii="Arial" w:hAnsi="Arial" w:cs="Arial"/>
          <w:b/>
          <w:sz w:val="18"/>
        </w:rPr>
        <w:t xml:space="preserve">4.5. </w:t>
      </w:r>
      <w:r w:rsidRPr="00E92C46">
        <w:rPr>
          <w:rFonts w:ascii="Arial" w:hAnsi="Arial" w:cs="Arial"/>
          <w:sz w:val="18"/>
        </w:rPr>
        <w:t>In clinical practice, can BRCA testing be somatic or germline? Is there a preference for somatic or germline?</w:t>
      </w:r>
    </w:p>
    <w:p w14:paraId="6C023857" w14:textId="77777777" w:rsidR="00A16B03" w:rsidRPr="00E92C46" w:rsidRDefault="00A16B03" w:rsidP="00A16B03">
      <w:pPr>
        <w:pStyle w:val="pCODR1Body"/>
        <w:spacing w:after="0"/>
        <w:ind w:left="72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A16B03" w:rsidRPr="00216316" w14:paraId="1580FFAD" w14:textId="77777777" w:rsidTr="006B4B88">
        <w:tc>
          <w:tcPr>
            <w:tcW w:w="10346" w:type="dxa"/>
          </w:tcPr>
          <w:p w14:paraId="2C385692" w14:textId="77777777" w:rsidR="00A16B03" w:rsidRDefault="00A16B03" w:rsidP="006B4B88">
            <w:pPr>
              <w:pStyle w:val="pCODR01AppendixHeader"/>
              <w:spacing w:before="0" w:after="0"/>
              <w:rPr>
                <w:rFonts w:ascii="Arial" w:hAnsi="Arial" w:cs="Arial"/>
                <w:spacing w:val="0"/>
              </w:rPr>
            </w:pPr>
          </w:p>
          <w:p w14:paraId="085DE759" w14:textId="77777777" w:rsidR="00A16B03" w:rsidRPr="00216316" w:rsidRDefault="00A16B03" w:rsidP="006B4B88">
            <w:pPr>
              <w:pStyle w:val="pCODR01AppendixHeader"/>
              <w:spacing w:before="0" w:after="0"/>
              <w:rPr>
                <w:rFonts w:ascii="Arial" w:hAnsi="Arial" w:cs="Arial"/>
                <w:spacing w:val="0"/>
              </w:rPr>
            </w:pPr>
          </w:p>
        </w:tc>
      </w:tr>
    </w:tbl>
    <w:p w14:paraId="3FB6D413" w14:textId="7836920E" w:rsidR="001E535E" w:rsidRDefault="00A16B03">
      <w:pPr>
        <w:rPr>
          <w:rFonts w:ascii="Arial" w:eastAsia="Times New Roman" w:hAnsi="Arial" w:cs="Arial"/>
          <w:b/>
          <w:color w:val="0067B9"/>
          <w:sz w:val="24"/>
          <w:szCs w:val="28"/>
        </w:rPr>
      </w:pPr>
      <w:r>
        <w:rPr>
          <w:b/>
          <w:color w:val="0067B9"/>
          <w:sz w:val="24"/>
          <w:szCs w:val="28"/>
        </w:rPr>
        <w:br w:type="page"/>
      </w:r>
    </w:p>
    <w:p w14:paraId="179EB68B" w14:textId="2175CFE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6F35E8BB" w14:textId="4D0E006B"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B402" w14:textId="77777777" w:rsidR="00936963" w:rsidRDefault="00936963" w:rsidP="00CF4FCF">
      <w:pPr>
        <w:spacing w:after="0"/>
      </w:pPr>
      <w:r>
        <w:separator/>
      </w:r>
    </w:p>
  </w:endnote>
  <w:endnote w:type="continuationSeparator" w:id="0">
    <w:p w14:paraId="77A39AB0" w14:textId="77777777" w:rsidR="00936963" w:rsidRDefault="00936963"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F35DC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05319">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05319">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9F9C7C"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05319">
                            <w:rPr>
                              <w:rFonts w:ascii="Arial" w:hAnsi="Arial" w:cs="Arial"/>
                              <w:noProof/>
                              <w:sz w:val="14"/>
                              <w:szCs w:val="14"/>
                            </w:rPr>
                            <w:t>1</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05319">
                      <w:rPr>
                        <w:rFonts w:ascii="Arial" w:hAnsi="Arial" w:cs="Arial"/>
                        <w:noProof/>
                        <w:sz w:val="14"/>
                        <w:szCs w:val="14"/>
                      </w:rPr>
                      <w:t>1</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36AC0" w14:textId="77777777" w:rsidR="00936963" w:rsidRDefault="00936963" w:rsidP="00CF4FCF">
      <w:pPr>
        <w:spacing w:after="0"/>
      </w:pPr>
      <w:r>
        <w:separator/>
      </w:r>
    </w:p>
  </w:footnote>
  <w:footnote w:type="continuationSeparator" w:id="0">
    <w:p w14:paraId="54A77D08" w14:textId="77777777" w:rsidR="00936963" w:rsidRDefault="00936963"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5EF4EB8"/>
    <w:multiLevelType w:val="hybridMultilevel"/>
    <w:tmpl w:val="C1C2A090"/>
    <w:lvl w:ilvl="0" w:tplc="08864FE6">
      <w:start w:val="1"/>
      <w:numFmt w:val="decimal"/>
      <w:lvlText w:val="%1."/>
      <w:lvlJc w:val="left"/>
      <w:pPr>
        <w:ind w:left="390" w:hanging="360"/>
      </w:pPr>
      <w:rPr>
        <w:rFonts w:ascii="Arial" w:eastAsiaTheme="minorHAnsi" w:hAnsi="Arial" w:cs="Arial"/>
        <w:b/>
      </w:rPr>
    </w:lvl>
    <w:lvl w:ilvl="1" w:tplc="41E0C4CE">
      <w:start w:val="1"/>
      <w:numFmt w:val="lowerLetter"/>
      <w:lvlText w:val="%2."/>
      <w:lvlJc w:val="left"/>
      <w:pPr>
        <w:ind w:left="1070" w:hanging="360"/>
      </w:pPr>
      <w:rPr>
        <w:b/>
      </w:rPr>
    </w:lvl>
    <w:lvl w:ilvl="2" w:tplc="1009001B">
      <w:start w:val="1"/>
      <w:numFmt w:val="lowerRoman"/>
      <w:lvlText w:val="%3."/>
      <w:lvlJc w:val="right"/>
      <w:pPr>
        <w:ind w:left="1404" w:hanging="180"/>
      </w:pPr>
    </w:lvl>
    <w:lvl w:ilvl="3" w:tplc="1009000F" w:tentative="1">
      <w:start w:val="1"/>
      <w:numFmt w:val="decimal"/>
      <w:lvlText w:val="%4."/>
      <w:lvlJc w:val="left"/>
      <w:pPr>
        <w:ind w:left="2124" w:hanging="360"/>
      </w:pPr>
    </w:lvl>
    <w:lvl w:ilvl="4" w:tplc="10090019" w:tentative="1">
      <w:start w:val="1"/>
      <w:numFmt w:val="lowerLetter"/>
      <w:lvlText w:val="%5."/>
      <w:lvlJc w:val="left"/>
      <w:pPr>
        <w:ind w:left="2844" w:hanging="360"/>
      </w:pPr>
    </w:lvl>
    <w:lvl w:ilvl="5" w:tplc="1009001B" w:tentative="1">
      <w:start w:val="1"/>
      <w:numFmt w:val="lowerRoman"/>
      <w:lvlText w:val="%6."/>
      <w:lvlJc w:val="right"/>
      <w:pPr>
        <w:ind w:left="3564" w:hanging="180"/>
      </w:pPr>
    </w:lvl>
    <w:lvl w:ilvl="6" w:tplc="1009000F" w:tentative="1">
      <w:start w:val="1"/>
      <w:numFmt w:val="decimal"/>
      <w:lvlText w:val="%7."/>
      <w:lvlJc w:val="left"/>
      <w:pPr>
        <w:ind w:left="4284" w:hanging="360"/>
      </w:pPr>
    </w:lvl>
    <w:lvl w:ilvl="7" w:tplc="10090019" w:tentative="1">
      <w:start w:val="1"/>
      <w:numFmt w:val="lowerLetter"/>
      <w:lvlText w:val="%8."/>
      <w:lvlJc w:val="left"/>
      <w:pPr>
        <w:ind w:left="5004" w:hanging="360"/>
      </w:pPr>
    </w:lvl>
    <w:lvl w:ilvl="8" w:tplc="1009001B" w:tentative="1">
      <w:start w:val="1"/>
      <w:numFmt w:val="lowerRoman"/>
      <w:lvlText w:val="%9."/>
      <w:lvlJc w:val="right"/>
      <w:pPr>
        <w:ind w:left="5724" w:hanging="180"/>
      </w:pPr>
    </w:lvl>
  </w:abstractNum>
  <w:abstractNum w:abstractNumId="15">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nsid w:val="56CF7C08"/>
    <w:multiLevelType w:val="hybridMultilevel"/>
    <w:tmpl w:val="13529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8FF479D"/>
    <w:multiLevelType w:val="hybridMultilevel"/>
    <w:tmpl w:val="9A02BC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4"/>
  </w:num>
  <w:num w:numId="15">
    <w:abstractNumId w:val="44"/>
  </w:num>
  <w:num w:numId="16">
    <w:abstractNumId w:val="28"/>
  </w:num>
  <w:num w:numId="17">
    <w:abstractNumId w:val="32"/>
  </w:num>
  <w:num w:numId="18">
    <w:abstractNumId w:val="49"/>
  </w:num>
  <w:num w:numId="19">
    <w:abstractNumId w:val="30"/>
  </w:num>
  <w:num w:numId="20">
    <w:abstractNumId w:val="11"/>
  </w:num>
  <w:num w:numId="21">
    <w:abstractNumId w:val="9"/>
  </w:num>
  <w:num w:numId="22">
    <w:abstractNumId w:val="29"/>
  </w:num>
  <w:num w:numId="23">
    <w:abstractNumId w:val="47"/>
  </w:num>
  <w:num w:numId="24">
    <w:abstractNumId w:val="16"/>
  </w:num>
  <w:num w:numId="25">
    <w:abstractNumId w:val="27"/>
  </w:num>
  <w:num w:numId="26">
    <w:abstractNumId w:val="38"/>
  </w:num>
  <w:num w:numId="27">
    <w:abstractNumId w:val="21"/>
  </w:num>
  <w:num w:numId="28">
    <w:abstractNumId w:val="26"/>
  </w:num>
  <w:num w:numId="29">
    <w:abstractNumId w:val="18"/>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5"/>
  </w:num>
  <w:num w:numId="36">
    <w:abstractNumId w:val="24"/>
  </w:num>
  <w:num w:numId="37">
    <w:abstractNumId w:val="23"/>
  </w:num>
  <w:num w:numId="38">
    <w:abstractNumId w:val="12"/>
  </w:num>
  <w:num w:numId="39">
    <w:abstractNumId w:val="46"/>
  </w:num>
  <w:num w:numId="40">
    <w:abstractNumId w:val="17"/>
  </w:num>
  <w:num w:numId="41">
    <w:abstractNumId w:val="41"/>
  </w:num>
  <w:num w:numId="42">
    <w:abstractNumId w:val="20"/>
  </w:num>
  <w:num w:numId="43">
    <w:abstractNumId w:val="36"/>
  </w:num>
  <w:num w:numId="44">
    <w:abstractNumId w:val="43"/>
  </w:num>
  <w:num w:numId="45">
    <w:abstractNumId w:val="22"/>
  </w:num>
  <w:num w:numId="46">
    <w:abstractNumId w:val="13"/>
  </w:num>
  <w:num w:numId="47">
    <w:abstractNumId w:val="33"/>
  </w:num>
  <w:num w:numId="48">
    <w:abstractNumId w:val="19"/>
  </w:num>
  <w:num w:numId="49">
    <w:abstractNumId w:val="35"/>
  </w:num>
  <w:num w:numId="5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273E"/>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C7342"/>
    <w:rsid w:val="000D0D08"/>
    <w:rsid w:val="000D37EC"/>
    <w:rsid w:val="000D3D87"/>
    <w:rsid w:val="000D6D21"/>
    <w:rsid w:val="000D7E08"/>
    <w:rsid w:val="000E4EA1"/>
    <w:rsid w:val="000E625D"/>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42F"/>
    <w:rsid w:val="00136B31"/>
    <w:rsid w:val="001377AB"/>
    <w:rsid w:val="0014301C"/>
    <w:rsid w:val="001438AC"/>
    <w:rsid w:val="00144DDA"/>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E535E"/>
    <w:rsid w:val="001F134E"/>
    <w:rsid w:val="002030BD"/>
    <w:rsid w:val="002030DC"/>
    <w:rsid w:val="00205435"/>
    <w:rsid w:val="00205657"/>
    <w:rsid w:val="00206B83"/>
    <w:rsid w:val="002117A9"/>
    <w:rsid w:val="002117F4"/>
    <w:rsid w:val="002157AE"/>
    <w:rsid w:val="00216316"/>
    <w:rsid w:val="00216C7C"/>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27C"/>
    <w:rsid w:val="00347615"/>
    <w:rsid w:val="003559BA"/>
    <w:rsid w:val="00356CB8"/>
    <w:rsid w:val="00360C79"/>
    <w:rsid w:val="003613BC"/>
    <w:rsid w:val="00364061"/>
    <w:rsid w:val="003640EA"/>
    <w:rsid w:val="0036567D"/>
    <w:rsid w:val="003665AC"/>
    <w:rsid w:val="003731D9"/>
    <w:rsid w:val="003811EC"/>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28ED"/>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1C5"/>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2F9B"/>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0A88"/>
    <w:rsid w:val="00891B28"/>
    <w:rsid w:val="00892C3F"/>
    <w:rsid w:val="008962B7"/>
    <w:rsid w:val="008964B0"/>
    <w:rsid w:val="00896DD7"/>
    <w:rsid w:val="008A483B"/>
    <w:rsid w:val="008A74F1"/>
    <w:rsid w:val="008B3F47"/>
    <w:rsid w:val="008C10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36963"/>
    <w:rsid w:val="00940527"/>
    <w:rsid w:val="009411B8"/>
    <w:rsid w:val="00942482"/>
    <w:rsid w:val="00952CA5"/>
    <w:rsid w:val="009541D8"/>
    <w:rsid w:val="00955869"/>
    <w:rsid w:val="00956B98"/>
    <w:rsid w:val="00957F7F"/>
    <w:rsid w:val="00960F8F"/>
    <w:rsid w:val="00965FDE"/>
    <w:rsid w:val="0096712A"/>
    <w:rsid w:val="00967367"/>
    <w:rsid w:val="009677BE"/>
    <w:rsid w:val="00970809"/>
    <w:rsid w:val="00970E66"/>
    <w:rsid w:val="0097115A"/>
    <w:rsid w:val="009737CA"/>
    <w:rsid w:val="00983D78"/>
    <w:rsid w:val="00984DB8"/>
    <w:rsid w:val="0098591C"/>
    <w:rsid w:val="00986DF2"/>
    <w:rsid w:val="009870A2"/>
    <w:rsid w:val="00987EC7"/>
    <w:rsid w:val="00992B58"/>
    <w:rsid w:val="00993315"/>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3DA5"/>
    <w:rsid w:val="009F46C8"/>
    <w:rsid w:val="00A00639"/>
    <w:rsid w:val="00A01B04"/>
    <w:rsid w:val="00A0469A"/>
    <w:rsid w:val="00A049DE"/>
    <w:rsid w:val="00A0790C"/>
    <w:rsid w:val="00A11B05"/>
    <w:rsid w:val="00A126CA"/>
    <w:rsid w:val="00A14097"/>
    <w:rsid w:val="00A16B03"/>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17D9"/>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5319"/>
    <w:rsid w:val="00C064DE"/>
    <w:rsid w:val="00C07499"/>
    <w:rsid w:val="00C075F0"/>
    <w:rsid w:val="00C136C0"/>
    <w:rsid w:val="00C176F1"/>
    <w:rsid w:val="00C20245"/>
    <w:rsid w:val="00C207B8"/>
    <w:rsid w:val="00C26D27"/>
    <w:rsid w:val="00C27B83"/>
    <w:rsid w:val="00C31270"/>
    <w:rsid w:val="00C320AD"/>
    <w:rsid w:val="00C32B06"/>
    <w:rsid w:val="00C346F8"/>
    <w:rsid w:val="00C57E83"/>
    <w:rsid w:val="00C639E0"/>
    <w:rsid w:val="00C671CB"/>
    <w:rsid w:val="00C70518"/>
    <w:rsid w:val="00C71B6E"/>
    <w:rsid w:val="00C72765"/>
    <w:rsid w:val="00C83A10"/>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45A1"/>
    <w:rsid w:val="00D47251"/>
    <w:rsid w:val="00D5162D"/>
    <w:rsid w:val="00D541C3"/>
    <w:rsid w:val="00D57AF0"/>
    <w:rsid w:val="00D6523D"/>
    <w:rsid w:val="00D65E73"/>
    <w:rsid w:val="00D67D0E"/>
    <w:rsid w:val="00D71A08"/>
    <w:rsid w:val="00D73478"/>
    <w:rsid w:val="00D73887"/>
    <w:rsid w:val="00D81848"/>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2C46"/>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62E"/>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78730780">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416708114">
      <w:bodyDiv w:val="1"/>
      <w:marLeft w:val="0"/>
      <w:marRight w:val="0"/>
      <w:marTop w:val="0"/>
      <w:marBottom w:val="0"/>
      <w:divBdr>
        <w:top w:val="none" w:sz="0" w:space="0" w:color="auto"/>
        <w:left w:val="none" w:sz="0" w:space="0" w:color="auto"/>
        <w:bottom w:val="none" w:sz="0" w:space="0" w:color="auto"/>
        <w:right w:val="none" w:sz="0" w:space="0" w:color="auto"/>
      </w:divBdr>
    </w:div>
    <w:div w:id="1646272474">
      <w:bodyDiv w:val="1"/>
      <w:marLeft w:val="0"/>
      <w:marRight w:val="0"/>
      <w:marTop w:val="0"/>
      <w:marBottom w:val="0"/>
      <w:divBdr>
        <w:top w:val="none" w:sz="0" w:space="0" w:color="auto"/>
        <w:left w:val="none" w:sz="0" w:space="0" w:color="auto"/>
        <w:bottom w:val="none" w:sz="0" w:space="0" w:color="auto"/>
        <w:right w:val="none" w:sz="0" w:space="0" w:color="auto"/>
      </w:divBdr>
    </w:div>
    <w:div w:id="1825005428">
      <w:bodyDiv w:val="1"/>
      <w:marLeft w:val="0"/>
      <w:marRight w:val="0"/>
      <w:marTop w:val="0"/>
      <w:marBottom w:val="0"/>
      <w:divBdr>
        <w:top w:val="none" w:sz="0" w:space="0" w:color="auto"/>
        <w:left w:val="none" w:sz="0" w:space="0" w:color="auto"/>
        <w:bottom w:val="none" w:sz="0" w:space="0" w:color="auto"/>
        <w:right w:val="none" w:sz="0" w:space="0" w:color="auto"/>
      </w:divBdr>
    </w:div>
    <w:div w:id="1827239013">
      <w:bodyDiv w:val="1"/>
      <w:marLeft w:val="0"/>
      <w:marRight w:val="0"/>
      <w:marTop w:val="0"/>
      <w:marBottom w:val="0"/>
      <w:divBdr>
        <w:top w:val="none" w:sz="0" w:space="0" w:color="auto"/>
        <w:left w:val="none" w:sz="0" w:space="0" w:color="auto"/>
        <w:bottom w:val="none" w:sz="0" w:space="0" w:color="auto"/>
        <w:right w:val="none" w:sz="0" w:space="0" w:color="auto"/>
      </w:divBdr>
    </w:div>
    <w:div w:id="1835026963">
      <w:bodyDiv w:val="1"/>
      <w:marLeft w:val="0"/>
      <w:marRight w:val="0"/>
      <w:marTop w:val="0"/>
      <w:marBottom w:val="0"/>
      <w:divBdr>
        <w:top w:val="none" w:sz="0" w:space="0" w:color="auto"/>
        <w:left w:val="none" w:sz="0" w:space="0" w:color="auto"/>
        <w:bottom w:val="none" w:sz="0" w:space="0" w:color="auto"/>
        <w:right w:val="none" w:sz="0" w:space="0" w:color="auto"/>
      </w:divBdr>
    </w:div>
    <w:div w:id="199421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ema.europa.eu/en/medicines/human/EPAR/lynpar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fda.gov/drugs/informationondrugs/approveddrugs/ucm572143.htm" TargetMode="External"/><Relationship Id="rId2" Type="http://schemas.openxmlformats.org/officeDocument/2006/relationships/numbering" Target="numbering.xml"/><Relationship Id="rId16" Type="http://schemas.openxmlformats.org/officeDocument/2006/relationships/hyperlink" Target="https://www.nejm.org/doi/full/10.1056/NEJMoa18108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linicaltrials.gov/ct2/show/NCT01844986" TargetMode="External"/><Relationship Id="rId28" Type="http://schemas.microsoft.com/office/2016/09/relationships/commentsIds" Target="commentsIds.xml"/><Relationship Id="rId10" Type="http://schemas.openxmlformats.org/officeDocument/2006/relationships/hyperlink" Target="http://www.cadth.ca/pcodr/registration" TargetMode="External"/><Relationship Id="rId19" Type="http://schemas.openxmlformats.org/officeDocument/2006/relationships/hyperlink" Target="https://www.nccn.org/professionals/physician_gls/pdf/ovarian.pdf" TargetMode="External"/><Relationship Id="rId4" Type="http://schemas.microsoft.com/office/2007/relationships/stylesWithEffects" Target="stylesWithEffects.xml"/><Relationship Id="rId9" Type="http://schemas.openxmlformats.org/officeDocument/2006/relationships/hyperlink" Target="https://drugreviewsadmin.cadth.ca/Landing/Register/Register.aspx?La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1657-BB6B-4FA8-9D14-866B65B3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2019-04-22T15:36:00Z</dcterms:created>
  <dcterms:modified xsi:type="dcterms:W3CDTF">2019-04-22T15:36:00Z</dcterms:modified>
</cp:coreProperties>
</file>