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E159780"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DCB6857" w:rsidR="00121EB1" w:rsidRPr="001361CD" w:rsidRDefault="00890A88" w:rsidP="001361CD">
            <w:pPr>
              <w:pStyle w:val="DocumentTitle"/>
              <w:tabs>
                <w:tab w:val="left" w:pos="1074"/>
              </w:tabs>
              <w:spacing w:before="0" w:after="0"/>
              <w:rPr>
                <w:sz w:val="18"/>
                <w:szCs w:val="20"/>
              </w:rPr>
            </w:pPr>
            <w:r w:rsidRPr="001361CD">
              <w:rPr>
                <w:sz w:val="18"/>
                <w:szCs w:val="20"/>
              </w:rPr>
              <w:t>pCODR 101</w:t>
            </w:r>
            <w:r w:rsidR="001E535E" w:rsidRPr="001361CD">
              <w:rPr>
                <w:sz w:val="18"/>
                <w:szCs w:val="20"/>
              </w:rPr>
              <w:t>7</w:t>
            </w:r>
            <w:r w:rsidR="001361CD" w:rsidRPr="001361CD">
              <w:rPr>
                <w:sz w:val="18"/>
                <w:szCs w:val="20"/>
              </w:rPr>
              <w:t>6</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6F9DEF" w:rsidR="00F369F8" w:rsidRPr="001361CD" w:rsidRDefault="001361CD" w:rsidP="00216C7C">
            <w:pPr>
              <w:pStyle w:val="DocumentTitle"/>
              <w:tabs>
                <w:tab w:val="left" w:pos="1074"/>
              </w:tabs>
              <w:spacing w:before="0" w:after="0"/>
              <w:rPr>
                <w:sz w:val="18"/>
                <w:szCs w:val="20"/>
              </w:rPr>
            </w:pPr>
            <w:r w:rsidRPr="001361CD">
              <w:rPr>
                <w:sz w:val="18"/>
                <w:szCs w:val="20"/>
              </w:rPr>
              <w:t>Pembrolizumab (Keytruda)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3EEB9F4B" w:rsidR="00F369F8" w:rsidRPr="001361CD" w:rsidRDefault="001361CD" w:rsidP="00EB0EEF">
            <w:pPr>
              <w:pStyle w:val="DocumentTitle"/>
              <w:tabs>
                <w:tab w:val="left" w:pos="1074"/>
              </w:tabs>
              <w:spacing w:before="0" w:after="0"/>
              <w:rPr>
                <w:sz w:val="18"/>
                <w:szCs w:val="20"/>
                <w:highlight w:val="yellow"/>
              </w:rPr>
            </w:pPr>
            <w:r w:rsidRPr="001361CD">
              <w:rPr>
                <w:sz w:val="18"/>
                <w:szCs w:val="20"/>
              </w:rPr>
              <w:t>Squamous NSCLC</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D81848" w:rsidRDefault="00F369F8" w:rsidP="00EB0EEF">
            <w:pPr>
              <w:pStyle w:val="DocumentTitle"/>
              <w:tabs>
                <w:tab w:val="left" w:pos="1074"/>
              </w:tabs>
              <w:spacing w:before="80" w:after="80"/>
              <w:rPr>
                <w:color w:val="FFFFFF" w:themeColor="background1"/>
                <w:sz w:val="18"/>
                <w:szCs w:val="20"/>
              </w:rPr>
            </w:pPr>
            <w:r w:rsidRPr="00D81848">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7A9571F" w:rsidR="001E535E" w:rsidRPr="001361CD" w:rsidRDefault="001361CD" w:rsidP="004728ED">
            <w:pPr>
              <w:pStyle w:val="DocumentTitle"/>
              <w:tabs>
                <w:tab w:val="left" w:pos="1074"/>
              </w:tabs>
              <w:spacing w:before="0" w:after="0"/>
              <w:rPr>
                <w:sz w:val="18"/>
                <w:szCs w:val="20"/>
                <w:highlight w:val="yellow"/>
              </w:rPr>
            </w:pPr>
            <w:r w:rsidRPr="001361CD">
              <w:rPr>
                <w:sz w:val="18"/>
                <w:szCs w:val="20"/>
              </w:rPr>
              <w:t>For the treatment of patients with metastatic squamous NSCLC in combination with carboplatin and either paclitaxel or nab-paclitaxel, in adults with no prior systemic chemotherapy treatment for metastatic NSCLC.</w:t>
            </w:r>
          </w:p>
        </w:tc>
      </w:tr>
      <w:tr w:rsidR="00F369F8" w:rsidRPr="00EB0EEF" w14:paraId="342A3814" w14:textId="77777777" w:rsidTr="001361CD">
        <w:trPr>
          <w:trHeight w:val="396"/>
        </w:trPr>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D81848" w:rsidRDefault="00554ADB" w:rsidP="00EB0EEF">
            <w:pPr>
              <w:pStyle w:val="DocumentTitle"/>
              <w:tabs>
                <w:tab w:val="left" w:pos="1074"/>
              </w:tabs>
              <w:spacing w:before="0" w:after="0"/>
              <w:rPr>
                <w:color w:val="FFFFFF" w:themeColor="background1"/>
                <w:sz w:val="18"/>
                <w:szCs w:val="20"/>
              </w:rPr>
            </w:pPr>
            <w:r w:rsidRPr="00D81848">
              <w:rPr>
                <w:color w:val="FFFFFF" w:themeColor="background1"/>
                <w:sz w:val="18"/>
                <w:szCs w:val="20"/>
              </w:rPr>
              <w:t xml:space="preserve">Trial(s) </w:t>
            </w:r>
            <w:r w:rsidR="00D47251" w:rsidRPr="00D81848">
              <w:rPr>
                <w:color w:val="FFFFFF" w:themeColor="background1"/>
                <w:sz w:val="18"/>
                <w:szCs w:val="20"/>
              </w:rPr>
              <w:t>B</w:t>
            </w:r>
            <w:r w:rsidRPr="00D81848">
              <w:rPr>
                <w:color w:val="FFFFFF" w:themeColor="background1"/>
                <w:sz w:val="18"/>
                <w:szCs w:val="20"/>
              </w:rPr>
              <w:t xml:space="preserve">eing </w:t>
            </w:r>
            <w:r w:rsidR="00D47251" w:rsidRPr="00D81848">
              <w:rPr>
                <w:color w:val="FFFFFF" w:themeColor="background1"/>
                <w:sz w:val="18"/>
                <w:szCs w:val="20"/>
              </w:rPr>
              <w:t>S</w:t>
            </w:r>
            <w:r w:rsidRPr="00D81848">
              <w:rPr>
                <w:color w:val="FFFFFF" w:themeColor="background1"/>
                <w:sz w:val="18"/>
                <w:szCs w:val="20"/>
              </w:rPr>
              <w:t xml:space="preserve">ubmitted </w:t>
            </w:r>
            <w:r w:rsidR="00F92BE1" w:rsidRPr="00D81848">
              <w:rPr>
                <w:color w:val="FFFFFF" w:themeColor="background1"/>
                <w:sz w:val="18"/>
                <w:szCs w:val="20"/>
              </w:rPr>
              <w:t>to</w:t>
            </w:r>
            <w:r w:rsidRPr="00D81848">
              <w:rPr>
                <w:color w:val="FFFFFF" w:themeColor="background1"/>
                <w:sz w:val="18"/>
                <w:szCs w:val="20"/>
              </w:rPr>
              <w:t xml:space="preserve"> pCODR</w:t>
            </w:r>
            <w:r w:rsidR="00865015" w:rsidRPr="00D81848">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32F558" w14:textId="766AB48E" w:rsidR="001361CD" w:rsidRPr="001361CD" w:rsidRDefault="001361CD" w:rsidP="001361CD">
            <w:pPr>
              <w:pStyle w:val="DocumentTitle"/>
              <w:numPr>
                <w:ilvl w:val="0"/>
                <w:numId w:val="44"/>
              </w:numPr>
              <w:tabs>
                <w:tab w:val="left" w:pos="1074"/>
              </w:tabs>
              <w:spacing w:before="0" w:after="0"/>
              <w:rPr>
                <w:color w:val="000000"/>
                <w:sz w:val="18"/>
                <w:szCs w:val="18"/>
                <w:shd w:val="clear" w:color="auto" w:fill="FFFFFF"/>
              </w:rPr>
            </w:pPr>
            <w:r w:rsidRPr="001361CD">
              <w:rPr>
                <w:color w:val="000000"/>
                <w:sz w:val="18"/>
                <w:szCs w:val="18"/>
                <w:shd w:val="clear" w:color="auto" w:fill="FFFFFF"/>
              </w:rPr>
              <w:t>KEYNOTE-407 (</w:t>
            </w:r>
            <w:hyperlink r:id="rId14" w:tgtFrame="_blank" w:history="1">
              <w:r w:rsidRPr="001361CD">
                <w:rPr>
                  <w:rStyle w:val="Hyperlink"/>
                  <w:sz w:val="18"/>
                  <w:szCs w:val="18"/>
                  <w:bdr w:val="none" w:sz="0" w:space="0" w:color="auto" w:frame="1"/>
                  <w:shd w:val="clear" w:color="auto" w:fill="FFFFFF"/>
                </w:rPr>
                <w:t>NCT02775435</w:t>
              </w:r>
            </w:hyperlink>
            <w:r w:rsidRPr="001361CD">
              <w:rPr>
                <w:color w:val="000000"/>
                <w:sz w:val="18"/>
                <w:szCs w:val="18"/>
                <w:shd w:val="clear" w:color="auto" w:fill="FFFFFF"/>
              </w:rPr>
              <w:t>)</w:t>
            </w:r>
          </w:p>
          <w:p w14:paraId="52AF8FBD" w14:textId="755626F5" w:rsidR="001361CD" w:rsidRPr="001361CD" w:rsidRDefault="00B21B7B" w:rsidP="001361CD">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1361CD" w:rsidRPr="001361CD">
                <w:rPr>
                  <w:rStyle w:val="Hyperlink"/>
                  <w:sz w:val="18"/>
                  <w:szCs w:val="18"/>
                  <w:bdr w:val="none" w:sz="0" w:space="0" w:color="auto" w:frame="1"/>
                  <w:shd w:val="clear" w:color="auto" w:fill="FFFFFF"/>
                </w:rPr>
                <w:t>Paz-Ares et al, NEJM September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23CE53A3"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535EB654" w:rsidR="001E535E" w:rsidRPr="001361CD" w:rsidRDefault="001361CD" w:rsidP="00D81848">
            <w:pPr>
              <w:pStyle w:val="DocumentTitle"/>
              <w:tabs>
                <w:tab w:val="left" w:pos="1074"/>
              </w:tabs>
              <w:spacing w:before="0" w:after="0"/>
              <w:rPr>
                <w:sz w:val="18"/>
                <w:szCs w:val="20"/>
                <w:highlight w:val="yellow"/>
              </w:rPr>
            </w:pPr>
            <w:r w:rsidRPr="001361CD">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3A86DF7F" w14:textId="77777777" w:rsidR="001E535E" w:rsidRPr="001361CD" w:rsidRDefault="001361CD" w:rsidP="001361CD">
            <w:pPr>
              <w:pStyle w:val="DocumentTitle"/>
              <w:tabs>
                <w:tab w:val="left" w:pos="1074"/>
              </w:tabs>
              <w:spacing w:before="0" w:after="0"/>
              <w:rPr>
                <w:sz w:val="18"/>
                <w:szCs w:val="18"/>
              </w:rPr>
            </w:pPr>
            <w:r w:rsidRPr="001361CD">
              <w:rPr>
                <w:sz w:val="18"/>
                <w:szCs w:val="18"/>
              </w:rPr>
              <w:t>October 30, 2018</w:t>
            </w:r>
          </w:p>
          <w:p w14:paraId="2EE07483" w14:textId="124ACFA4" w:rsidR="001361CD" w:rsidRPr="001361CD" w:rsidRDefault="00B21B7B" w:rsidP="001361CD">
            <w:pPr>
              <w:pStyle w:val="DocumentTitle"/>
              <w:tabs>
                <w:tab w:val="left" w:pos="1074"/>
              </w:tabs>
              <w:spacing w:before="0" w:after="0"/>
              <w:rPr>
                <w:sz w:val="18"/>
                <w:szCs w:val="18"/>
                <w:highlight w:val="yellow"/>
              </w:rPr>
            </w:pPr>
            <w:hyperlink r:id="rId16" w:history="1">
              <w:r w:rsidR="001361CD" w:rsidRPr="001361CD">
                <w:rPr>
                  <w:rStyle w:val="Hyperlink"/>
                  <w:sz w:val="18"/>
                  <w:szCs w:val="18"/>
                </w:rPr>
                <w:t>in combination with carboplatin and either paclitaxel or nab-paclitaxel as first-line treatment of metastatic squamous non-small cell lung cancer (NSCLC).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338D085"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5B0C83DE" w:rsidR="001E535E" w:rsidRPr="001361CD" w:rsidRDefault="001E535E" w:rsidP="00D81848">
            <w:pPr>
              <w:pStyle w:val="DocumentTitle"/>
              <w:tabs>
                <w:tab w:val="left" w:pos="1074"/>
              </w:tabs>
              <w:spacing w:after="0"/>
              <w:rPr>
                <w:sz w:val="18"/>
                <w:szCs w:val="18"/>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438E0314" w:rsidR="006431C5" w:rsidRPr="001361CD" w:rsidRDefault="00B21B7B" w:rsidP="00993315">
            <w:pPr>
              <w:pStyle w:val="DocumentTitle"/>
              <w:tabs>
                <w:tab w:val="left" w:pos="1074"/>
              </w:tabs>
              <w:spacing w:before="0" w:after="0"/>
              <w:rPr>
                <w:rStyle w:val="Hyperlink"/>
                <w:sz w:val="18"/>
                <w:szCs w:val="20"/>
              </w:rPr>
            </w:pPr>
            <w:hyperlink r:id="rId17" w:history="1">
              <w:r w:rsidR="001361CD" w:rsidRPr="001361CD">
                <w:rPr>
                  <w:rStyle w:val="Hyperlink"/>
                  <w:sz w:val="18"/>
                  <w:szCs w:val="20"/>
                </w:rPr>
                <w:t>NCCN NSCLC Guidelines.</w:t>
              </w:r>
            </w:hyperlink>
          </w:p>
          <w:p w14:paraId="3D2B1E63" w14:textId="32180888" w:rsidR="001361CD" w:rsidRPr="00002163" w:rsidRDefault="00002163" w:rsidP="00002163">
            <w:pPr>
              <w:pStyle w:val="Heading1"/>
              <w:outlineLvl w:val="0"/>
              <w:rPr>
                <w:rStyle w:val="Hyperlink"/>
                <w:color w:val="auto"/>
                <w:u w:val="none"/>
              </w:rPr>
            </w:pPr>
            <w:r w:rsidRPr="00002163">
              <w:t>Systemic Therapy for Stage IV Non–Small-Cell Lung Cancer: American Society of Clinical Oncology Clinical Practice Guideline Update</w:t>
            </w:r>
            <w:r>
              <w:t xml:space="preserve">. </w:t>
            </w:r>
            <w:hyperlink r:id="rId18" w:history="1">
              <w:r w:rsidRPr="00002163">
                <w:rPr>
                  <w:rStyle w:val="Hyperlink"/>
                </w:rPr>
                <w:t>DOI: 10.1200/JCO.2017.74.6065.</w:t>
              </w:r>
            </w:hyperlink>
            <w:r>
              <w:t xml:space="preserve"> </w:t>
            </w:r>
          </w:p>
          <w:p w14:paraId="17E99E46" w14:textId="77777777" w:rsidR="0013642F" w:rsidRPr="001361CD" w:rsidRDefault="001361CD" w:rsidP="009677BE">
            <w:pPr>
              <w:pStyle w:val="DocumentTitle"/>
              <w:tabs>
                <w:tab w:val="left" w:pos="1074"/>
              </w:tabs>
              <w:spacing w:before="0" w:after="0"/>
              <w:rPr>
                <w:sz w:val="18"/>
                <w:szCs w:val="20"/>
              </w:rPr>
            </w:pPr>
            <w:r w:rsidRPr="001361CD">
              <w:rPr>
                <w:sz w:val="18"/>
                <w:szCs w:val="20"/>
              </w:rPr>
              <w:t xml:space="preserve">Metastatic Non-Small-Cell Lung Cancer: ESMO Clinical Practice Guidelines for diagnosis, treatment and follow-up. </w:t>
            </w:r>
            <w:hyperlink r:id="rId19" w:history="1">
              <w:r w:rsidRPr="001361CD">
                <w:rPr>
                  <w:rStyle w:val="Hyperlink"/>
                  <w:sz w:val="18"/>
                  <w:szCs w:val="20"/>
                </w:rPr>
                <w:t>Ann Oncol (2018) 29 (suppl 4): iv192–iv237.</w:t>
              </w:r>
            </w:hyperlink>
            <w:r w:rsidRPr="001361CD">
              <w:rPr>
                <w:sz w:val="18"/>
                <w:szCs w:val="20"/>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5F0C136F" w:rsidR="001361CD" w:rsidRPr="001361CD" w:rsidRDefault="001361CD" w:rsidP="0013642F">
            <w:pPr>
              <w:pStyle w:val="DocumentTitle"/>
              <w:tabs>
                <w:tab w:val="left" w:pos="1074"/>
              </w:tabs>
              <w:spacing w:before="0" w:after="0"/>
              <w:rPr>
                <w:color w:val="C00000"/>
                <w:sz w:val="18"/>
                <w:szCs w:val="20"/>
                <w:highlight w:val="yellow"/>
              </w:rPr>
            </w:pPr>
            <w:r w:rsidRPr="001361CD">
              <w:rPr>
                <w:sz w:val="18"/>
                <w:szCs w:val="20"/>
              </w:rPr>
              <w:t xml:space="preserve">Platinum doublet therapies (e.g., carboplatin or cisplatin in combination with gemcitabine, paclitaxel, or vinorelbine) are standard of care for first-line treatment of advanced </w:t>
            </w:r>
            <w:r w:rsidR="00002163">
              <w:rPr>
                <w:sz w:val="18"/>
                <w:szCs w:val="20"/>
              </w:rPr>
              <w:t xml:space="preserve">squamous </w:t>
            </w:r>
            <w:r w:rsidRPr="001361CD">
              <w:rPr>
                <w:sz w:val="18"/>
                <w:szCs w:val="20"/>
              </w:rPr>
              <w:t>NSCLC. In most jurisdictions, single agent pembrolizumab is available for patients with PD-L1 ≥50%. For patients not eligible for platinum-based therapies, they may receive single agent gemcitabine or vinorelbine.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B21B7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00F966F4" w14:textId="2DD4B5DC" w:rsidR="00B44453" w:rsidRPr="00216316" w:rsidRDefault="0013642F" w:rsidP="001361CD">
      <w:pPr>
        <w:pStyle w:val="pCODR1Body"/>
        <w:spacing w:after="0"/>
        <w:ind w:left="360"/>
        <w:rPr>
          <w:rFonts w:ascii="Arial" w:hAnsi="Arial" w:cs="Arial"/>
          <w:sz w:val="18"/>
        </w:rPr>
      </w:pPr>
      <w:r w:rsidRPr="00216316">
        <w:rPr>
          <w:rFonts w:ascii="Arial" w:hAnsi="Arial" w:cs="Arial"/>
          <w:b/>
          <w:sz w:val="18"/>
        </w:rPr>
        <w:t xml:space="preserve">4.1. </w:t>
      </w:r>
      <w:r w:rsidR="001361CD" w:rsidRPr="001361CD">
        <w:rPr>
          <w:rFonts w:ascii="Arial" w:hAnsi="Arial" w:cs="Arial"/>
          <w:sz w:val="18"/>
        </w:rPr>
        <w:t>For patients with PD-L1 ≥50%, is there a preference to provide these patients with single agent pembrolizumab or the combination of pembrolizumab in combination with carboplatin and either paclitaxel or nab-paclitaxel?</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6F8D795D" w14:textId="77777777" w:rsidR="000028EA" w:rsidRDefault="000028EA" w:rsidP="00002163">
            <w:pPr>
              <w:pStyle w:val="pCODR01AppendixHeader"/>
            </w:pPr>
            <w:bookmarkStart w:id="8" w:name="_Appendix_A:_pCODR"/>
            <w:bookmarkStart w:id="9" w:name="_Toc439923603"/>
            <w:bookmarkEnd w:id="8"/>
          </w:p>
          <w:p w14:paraId="263B76BD" w14:textId="77777777" w:rsidR="001E535E" w:rsidRPr="00216316" w:rsidRDefault="001E535E" w:rsidP="00002163">
            <w:pPr>
              <w:pStyle w:val="pCODR01AppendixHeader"/>
            </w:pPr>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275FE52D" w14:textId="0DE847E9" w:rsidR="000C7342" w:rsidRPr="00B21B7B" w:rsidRDefault="000C7342" w:rsidP="001361CD">
      <w:pPr>
        <w:pStyle w:val="pCODR1Body"/>
        <w:spacing w:after="0"/>
        <w:ind w:left="360"/>
        <w:rPr>
          <w:rFonts w:ascii="Arial" w:hAnsi="Arial" w:cs="Arial"/>
          <w:sz w:val="18"/>
        </w:rPr>
      </w:pPr>
      <w:r w:rsidRPr="00B21B7B">
        <w:rPr>
          <w:rFonts w:ascii="Arial" w:hAnsi="Arial" w:cs="Arial"/>
          <w:b/>
          <w:sz w:val="18"/>
        </w:rPr>
        <w:t xml:space="preserve">4.2. </w:t>
      </w:r>
      <w:r w:rsidR="001361CD" w:rsidRPr="00B21B7B">
        <w:rPr>
          <w:rFonts w:ascii="Arial" w:hAnsi="Arial" w:cs="Arial"/>
          <w:sz w:val="18"/>
          <w:szCs w:val="18"/>
        </w:rPr>
        <w:t xml:space="preserve">The funding request is for pembrolizumab in combination with carboplatin and either paclitaxel or nab-paclitaxel. Nab-paclitaxel </w:t>
      </w:r>
      <w:r w:rsidR="00B21B7B" w:rsidRPr="00B21B7B">
        <w:rPr>
          <w:rFonts w:ascii="Arial" w:hAnsi="Arial" w:cs="Arial"/>
          <w:sz w:val="18"/>
          <w:szCs w:val="18"/>
        </w:rPr>
        <w:t xml:space="preserve">is </w:t>
      </w:r>
      <w:r w:rsidR="001361CD" w:rsidRPr="00B21B7B">
        <w:rPr>
          <w:rFonts w:ascii="Arial" w:hAnsi="Arial" w:cs="Arial"/>
          <w:sz w:val="18"/>
          <w:szCs w:val="18"/>
        </w:rPr>
        <w:t>not funded in any jurisdictions for advanced NSCLC. Are the results from these trials generalizable to Canadian clinical practice (e.g., pembrolizumab with non-platinum based chem</w:t>
      </w:r>
      <w:bookmarkStart w:id="10" w:name="_GoBack"/>
      <w:bookmarkEnd w:id="10"/>
      <w:r w:rsidR="001361CD" w:rsidRPr="00B21B7B">
        <w:rPr>
          <w:rFonts w:ascii="Arial" w:hAnsi="Arial" w:cs="Arial"/>
          <w:sz w:val="18"/>
          <w:szCs w:val="18"/>
        </w:rPr>
        <w:t>otherapy for patients with a contraindication to platinum-based chemotherapy)?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C7342" w:rsidRPr="00216316" w14:paraId="2596075C" w14:textId="77777777" w:rsidTr="00923B5F">
        <w:tc>
          <w:tcPr>
            <w:tcW w:w="10346" w:type="dxa"/>
          </w:tcPr>
          <w:p w14:paraId="24E7C538" w14:textId="77777777" w:rsidR="000C7342" w:rsidRDefault="000C7342" w:rsidP="00002163">
            <w:pPr>
              <w:pStyle w:val="pCODR01AppendixHeader"/>
            </w:pPr>
          </w:p>
          <w:p w14:paraId="6A85AEF6" w14:textId="77777777" w:rsidR="000C7342" w:rsidRPr="00216316" w:rsidRDefault="000C7342" w:rsidP="00002163">
            <w:pPr>
              <w:pStyle w:val="pCODR01AppendixHeader"/>
            </w:pPr>
          </w:p>
        </w:tc>
      </w:tr>
    </w:tbl>
    <w:p w14:paraId="3FB6D413" w14:textId="77777777" w:rsidR="001E535E" w:rsidRDefault="001E535E">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9714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21B7B">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21B7B">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8BE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21B7B">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21B7B">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163"/>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1CD"/>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1B7B"/>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002163"/>
    <w:pPr>
      <w:keepNext/>
      <w:pageBreakBefore/>
      <w:shd w:val="clear" w:color="auto" w:fill="FFFFFF"/>
      <w:tabs>
        <w:tab w:val="left" w:pos="-1080"/>
        <w:tab w:val="num" w:pos="426"/>
      </w:tabs>
      <w:overflowPunct w:val="0"/>
      <w:autoSpaceDE w:val="0"/>
      <w:autoSpaceDN w:val="0"/>
      <w:adjustRightInd w:val="0"/>
      <w:spacing w:before="161" w:after="161"/>
      <w:textAlignment w:val="baseline"/>
      <w:outlineLvl w:val="0"/>
    </w:pPr>
    <w:rPr>
      <w:rFonts w:ascii="Arial" w:eastAsia="Times New Roman" w:hAnsi="Arial" w:cs="Arial"/>
      <w:b/>
      <w:spacing w:val="-6"/>
      <w:kern w:val="28"/>
      <w:sz w:val="18"/>
      <w:szCs w:val="18"/>
      <w:lang w:eastAsia="en-CA"/>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002163"/>
    <w:rPr>
      <w:rFonts w:ascii="Arial" w:eastAsia="Times New Roman" w:hAnsi="Arial" w:cs="Arial"/>
      <w:b/>
      <w:spacing w:val="-6"/>
      <w:kern w:val="28"/>
      <w:sz w:val="18"/>
      <w:szCs w:val="18"/>
      <w:shd w:val="clear" w:color="auto" w:fill="FFFFFF"/>
      <w:lang w:val="en-CA" w:eastAsia="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szCs w:val="18"/>
      <w:shd w:val="clear" w:color="auto" w:fill="FFFFFF"/>
      <w:lang w:val="en-CA" w:eastAsia="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shd w:val="clear" w:color="auto" w:fill="FFFFFF"/>
      <w:lang w:val="en-CA" w:eastAsia="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shd w:val="clear" w:color="auto" w:fill="FFFFFF"/>
      <w:lang w:val="en-CA" w:eastAsia="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shd w:val="clear" w:color="auto" w:fill="FFFFFF"/>
      <w:lang w:val="en-CA" w:eastAsia="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shd w:val="clear" w:color="auto" w:fill="FFFFFF"/>
      <w:lang w:val="en-CA" w:eastAsia="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szCs w:val="18"/>
      <w:shd w:val="clear" w:color="auto" w:fill="FFFFFF"/>
      <w:lang w:val="en-CA" w:eastAsia="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szCs w:val="18"/>
      <w:shd w:val="clear" w:color="auto" w:fill="FFFFFF"/>
      <w:lang w:val="en-CA" w:eastAsia="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9957">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07624461">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5299034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700669131">
      <w:bodyDiv w:val="1"/>
      <w:marLeft w:val="0"/>
      <w:marRight w:val="0"/>
      <w:marTop w:val="0"/>
      <w:marBottom w:val="0"/>
      <w:divBdr>
        <w:top w:val="none" w:sz="0" w:space="0" w:color="auto"/>
        <w:left w:val="none" w:sz="0" w:space="0" w:color="auto"/>
        <w:bottom w:val="none" w:sz="0" w:space="0" w:color="auto"/>
        <w:right w:val="none" w:sz="0" w:space="0" w:color="auto"/>
      </w:divBdr>
    </w:div>
    <w:div w:id="1716461904">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 w:id="209551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ascopubs.org/doi/full/10.1200/JCO.2017.74.6065?url_ver=Z39.88-2003&amp;rfr_id=ori:rid:crossref.org&amp;rfr_dat=cr_pub%3dpubm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nscl.pdf"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2465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pdf/10.1056/NEJMoa1810865" TargetMode="Externa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esmo.org/Guidelines/Lung-and-Chest-Tumours/Metastatic-Non-Small-Cell-Lung-Cancer"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775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365B-EA9D-40C1-BCF8-82E0C034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2018-12-13T21:31:00Z</dcterms:modified>
</cp:coreProperties>
</file>