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6E159780"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CADTH </w:t>
            </w:r>
            <w:proofErr w:type="spellStart"/>
            <w:r w:rsidRPr="00EB0EEF">
              <w:rPr>
                <w:color w:val="FFFFFF" w:themeColor="background1"/>
                <w:sz w:val="18"/>
                <w:szCs w:val="20"/>
              </w:rPr>
              <w:t>pCODR</w:t>
            </w:r>
            <w:proofErr w:type="spellEnd"/>
            <w:r w:rsidRPr="00EB0EEF">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1DC69605" w:rsidR="00121EB1" w:rsidRPr="00F438D4" w:rsidRDefault="00890A88" w:rsidP="001361CD">
            <w:pPr>
              <w:pStyle w:val="DocumentTitle"/>
              <w:tabs>
                <w:tab w:val="left" w:pos="1074"/>
              </w:tabs>
              <w:spacing w:before="0" w:after="0"/>
              <w:rPr>
                <w:sz w:val="18"/>
                <w:szCs w:val="20"/>
              </w:rPr>
            </w:pPr>
            <w:proofErr w:type="spellStart"/>
            <w:r w:rsidRPr="00F438D4">
              <w:rPr>
                <w:sz w:val="18"/>
                <w:szCs w:val="20"/>
              </w:rPr>
              <w:t>pCODR</w:t>
            </w:r>
            <w:proofErr w:type="spellEnd"/>
            <w:r w:rsidRPr="00F438D4">
              <w:rPr>
                <w:sz w:val="18"/>
                <w:szCs w:val="20"/>
              </w:rPr>
              <w:t xml:space="preserve"> 101</w:t>
            </w:r>
            <w:r w:rsidR="001E535E" w:rsidRPr="00F438D4">
              <w:rPr>
                <w:sz w:val="18"/>
                <w:szCs w:val="20"/>
              </w:rPr>
              <w:t>7</w:t>
            </w:r>
            <w:r w:rsidR="00F438D4" w:rsidRPr="00F438D4">
              <w:rPr>
                <w:sz w:val="18"/>
                <w:szCs w:val="20"/>
              </w:rPr>
              <w:t>7</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3D6F9DEF" w:rsidR="00F369F8" w:rsidRPr="00F438D4" w:rsidRDefault="001361CD" w:rsidP="00216C7C">
            <w:pPr>
              <w:pStyle w:val="DocumentTitle"/>
              <w:tabs>
                <w:tab w:val="left" w:pos="1074"/>
              </w:tabs>
              <w:spacing w:before="0" w:after="0"/>
              <w:rPr>
                <w:sz w:val="18"/>
                <w:szCs w:val="20"/>
              </w:rPr>
            </w:pPr>
            <w:proofErr w:type="spellStart"/>
            <w:r w:rsidRPr="00F438D4">
              <w:rPr>
                <w:sz w:val="18"/>
                <w:szCs w:val="20"/>
              </w:rPr>
              <w:t>Pembrolizumab</w:t>
            </w:r>
            <w:proofErr w:type="spellEnd"/>
            <w:r w:rsidRPr="00F438D4">
              <w:rPr>
                <w:sz w:val="18"/>
                <w:szCs w:val="20"/>
              </w:rPr>
              <w:t xml:space="preserve"> (</w:t>
            </w:r>
            <w:proofErr w:type="spellStart"/>
            <w:r w:rsidRPr="00F438D4">
              <w:rPr>
                <w:sz w:val="18"/>
                <w:szCs w:val="20"/>
              </w:rPr>
              <w:t>Keytruda</w:t>
            </w:r>
            <w:proofErr w:type="spellEnd"/>
            <w:r w:rsidRPr="00F438D4">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71B06BDF" w:rsidR="00F369F8" w:rsidRPr="00F438D4" w:rsidRDefault="00F438D4" w:rsidP="00EB0EEF">
            <w:pPr>
              <w:pStyle w:val="DocumentTitle"/>
              <w:tabs>
                <w:tab w:val="left" w:pos="1074"/>
              </w:tabs>
              <w:spacing w:before="0" w:after="0"/>
              <w:rPr>
                <w:sz w:val="18"/>
                <w:szCs w:val="20"/>
                <w:highlight w:val="yellow"/>
              </w:rPr>
            </w:pPr>
            <w:r w:rsidRPr="00F438D4">
              <w:rPr>
                <w:sz w:val="18"/>
                <w:szCs w:val="20"/>
              </w:rPr>
              <w:t>Metastatic Urothelial Carcinoma</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D81848" w:rsidRDefault="00F369F8" w:rsidP="00EB0EEF">
            <w:pPr>
              <w:pStyle w:val="DocumentTitle"/>
              <w:tabs>
                <w:tab w:val="left" w:pos="1074"/>
              </w:tabs>
              <w:spacing w:before="80" w:after="80"/>
              <w:rPr>
                <w:color w:val="FFFFFF" w:themeColor="background1"/>
                <w:sz w:val="18"/>
                <w:szCs w:val="20"/>
              </w:rPr>
            </w:pPr>
            <w:r w:rsidRPr="00D81848">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6E398E20" w:rsidR="001E535E" w:rsidRPr="00F438D4" w:rsidRDefault="00F438D4" w:rsidP="004728ED">
            <w:pPr>
              <w:pStyle w:val="DocumentTitle"/>
              <w:tabs>
                <w:tab w:val="left" w:pos="1074"/>
              </w:tabs>
              <w:spacing w:before="0" w:after="0"/>
              <w:rPr>
                <w:sz w:val="18"/>
                <w:szCs w:val="20"/>
              </w:rPr>
            </w:pPr>
            <w:r w:rsidRPr="00F438D4">
              <w:rPr>
                <w:sz w:val="18"/>
                <w:szCs w:val="20"/>
              </w:rPr>
              <w:t>For the treatment of patients with locally advanced or metastatic urothelial carcinoma, as monotherapy, in adults who are not eligible for cisplatin-containing chemotherapy and whose tumours express PD L1 [Combined Positive Score (CPS) ≥10] as determined by a validated test, or in patients who are not eligible for any platinum containing chemotherapy regardless of PD L1 status.</w:t>
            </w:r>
          </w:p>
        </w:tc>
      </w:tr>
      <w:tr w:rsidR="00F369F8" w:rsidRPr="00EB0EEF" w14:paraId="342A3814" w14:textId="77777777" w:rsidTr="001361CD">
        <w:trPr>
          <w:trHeight w:val="396"/>
        </w:trPr>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D81848" w:rsidRDefault="00554ADB" w:rsidP="00EB0EEF">
            <w:pPr>
              <w:pStyle w:val="DocumentTitle"/>
              <w:tabs>
                <w:tab w:val="left" w:pos="1074"/>
              </w:tabs>
              <w:spacing w:before="0" w:after="0"/>
              <w:rPr>
                <w:color w:val="FFFFFF" w:themeColor="background1"/>
                <w:sz w:val="18"/>
                <w:szCs w:val="20"/>
              </w:rPr>
            </w:pPr>
            <w:r w:rsidRPr="00D81848">
              <w:rPr>
                <w:color w:val="FFFFFF" w:themeColor="background1"/>
                <w:sz w:val="18"/>
                <w:szCs w:val="20"/>
              </w:rPr>
              <w:t xml:space="preserve">Trial(s) </w:t>
            </w:r>
            <w:r w:rsidR="00D47251" w:rsidRPr="00D81848">
              <w:rPr>
                <w:color w:val="FFFFFF" w:themeColor="background1"/>
                <w:sz w:val="18"/>
                <w:szCs w:val="20"/>
              </w:rPr>
              <w:t>B</w:t>
            </w:r>
            <w:r w:rsidRPr="00D81848">
              <w:rPr>
                <w:color w:val="FFFFFF" w:themeColor="background1"/>
                <w:sz w:val="18"/>
                <w:szCs w:val="20"/>
              </w:rPr>
              <w:t xml:space="preserve">eing </w:t>
            </w:r>
            <w:r w:rsidR="00D47251" w:rsidRPr="00D81848">
              <w:rPr>
                <w:color w:val="FFFFFF" w:themeColor="background1"/>
                <w:sz w:val="18"/>
                <w:szCs w:val="20"/>
              </w:rPr>
              <w:t>S</w:t>
            </w:r>
            <w:r w:rsidRPr="00D81848">
              <w:rPr>
                <w:color w:val="FFFFFF" w:themeColor="background1"/>
                <w:sz w:val="18"/>
                <w:szCs w:val="20"/>
              </w:rPr>
              <w:t xml:space="preserve">ubmitted </w:t>
            </w:r>
            <w:r w:rsidR="00F92BE1" w:rsidRPr="00D81848">
              <w:rPr>
                <w:color w:val="FFFFFF" w:themeColor="background1"/>
                <w:sz w:val="18"/>
                <w:szCs w:val="20"/>
              </w:rPr>
              <w:t>to</w:t>
            </w:r>
            <w:r w:rsidRPr="00D81848">
              <w:rPr>
                <w:color w:val="FFFFFF" w:themeColor="background1"/>
                <w:sz w:val="18"/>
                <w:szCs w:val="20"/>
              </w:rPr>
              <w:t xml:space="preserve"> </w:t>
            </w:r>
            <w:proofErr w:type="spellStart"/>
            <w:r w:rsidRPr="00D81848">
              <w:rPr>
                <w:color w:val="FFFFFF" w:themeColor="background1"/>
                <w:sz w:val="18"/>
                <w:szCs w:val="20"/>
              </w:rPr>
              <w:t>pCODR</w:t>
            </w:r>
            <w:r w:rsidR="00865015" w:rsidRPr="00D81848">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401A1F58" w14:textId="77777777" w:rsidR="00F438D4" w:rsidRPr="00F438D4" w:rsidRDefault="00F438D4" w:rsidP="001361CD">
            <w:pPr>
              <w:pStyle w:val="DocumentTitle"/>
              <w:numPr>
                <w:ilvl w:val="0"/>
                <w:numId w:val="44"/>
              </w:numPr>
              <w:tabs>
                <w:tab w:val="left" w:pos="1074"/>
              </w:tabs>
              <w:spacing w:before="0" w:after="0"/>
              <w:rPr>
                <w:color w:val="000000"/>
                <w:sz w:val="18"/>
                <w:szCs w:val="18"/>
                <w:shd w:val="clear" w:color="auto" w:fill="FFFFFF"/>
              </w:rPr>
            </w:pPr>
            <w:r w:rsidRPr="00F438D4">
              <w:rPr>
                <w:color w:val="000000"/>
                <w:sz w:val="18"/>
                <w:szCs w:val="18"/>
                <w:shd w:val="clear" w:color="auto" w:fill="FFFFFF"/>
              </w:rPr>
              <w:t>KEYNOTE-052 (</w:t>
            </w:r>
            <w:hyperlink r:id="rId14" w:tgtFrame="_blank" w:history="1">
              <w:r w:rsidRPr="00F438D4">
                <w:rPr>
                  <w:rStyle w:val="Hyperlink"/>
                  <w:sz w:val="18"/>
                  <w:szCs w:val="18"/>
                  <w:bdr w:val="none" w:sz="0" w:space="0" w:color="auto" w:frame="1"/>
                  <w:shd w:val="clear" w:color="auto" w:fill="FFFFFF"/>
                </w:rPr>
                <w:t>NCT023354</w:t>
              </w:r>
              <w:r w:rsidRPr="00F438D4">
                <w:rPr>
                  <w:rStyle w:val="Hyperlink"/>
                  <w:sz w:val="18"/>
                  <w:szCs w:val="18"/>
                  <w:bdr w:val="none" w:sz="0" w:space="0" w:color="auto" w:frame="1"/>
                  <w:shd w:val="clear" w:color="auto" w:fill="FFFFFF"/>
                </w:rPr>
                <w:t>2</w:t>
              </w:r>
              <w:r w:rsidRPr="00F438D4">
                <w:rPr>
                  <w:rStyle w:val="Hyperlink"/>
                  <w:sz w:val="18"/>
                  <w:szCs w:val="18"/>
                  <w:bdr w:val="none" w:sz="0" w:space="0" w:color="auto" w:frame="1"/>
                  <w:shd w:val="clear" w:color="auto" w:fill="FFFFFF"/>
                </w:rPr>
                <w:t>4</w:t>
              </w:r>
            </w:hyperlink>
            <w:r w:rsidRPr="00F438D4">
              <w:rPr>
                <w:color w:val="000000"/>
                <w:sz w:val="18"/>
                <w:szCs w:val="18"/>
                <w:shd w:val="clear" w:color="auto" w:fill="FFFFFF"/>
              </w:rPr>
              <w:t>)</w:t>
            </w:r>
          </w:p>
          <w:p w14:paraId="52AF8FBD" w14:textId="52224CAA" w:rsidR="001361CD" w:rsidRPr="00F438D4" w:rsidRDefault="00F438D4" w:rsidP="00F438D4">
            <w:pPr>
              <w:pStyle w:val="DocumentTitle"/>
              <w:numPr>
                <w:ilvl w:val="0"/>
                <w:numId w:val="44"/>
              </w:numPr>
              <w:tabs>
                <w:tab w:val="left" w:pos="1074"/>
              </w:tabs>
              <w:spacing w:before="0" w:after="0"/>
              <w:rPr>
                <w:color w:val="000000"/>
                <w:sz w:val="18"/>
                <w:szCs w:val="18"/>
                <w:shd w:val="clear" w:color="auto" w:fill="FFFFFF"/>
              </w:rPr>
            </w:pPr>
            <w:r w:rsidRPr="00F438D4">
              <w:rPr>
                <w:color w:val="000000"/>
                <w:sz w:val="18"/>
                <w:szCs w:val="18"/>
                <w:shd w:val="clear" w:color="auto" w:fill="FFFFFF"/>
              </w:rPr>
              <w:t> </w:t>
            </w:r>
            <w:hyperlink r:id="rId15" w:tgtFrame="_blank" w:history="1">
              <w:proofErr w:type="spellStart"/>
              <w:r w:rsidRPr="00F438D4">
                <w:rPr>
                  <w:rStyle w:val="Hyperlink"/>
                  <w:sz w:val="18"/>
                  <w:szCs w:val="18"/>
                  <w:bdr w:val="none" w:sz="0" w:space="0" w:color="auto" w:frame="1"/>
                  <w:shd w:val="clear" w:color="auto" w:fill="FFFFFF"/>
                </w:rPr>
                <w:t>Balar</w:t>
              </w:r>
              <w:proofErr w:type="spellEnd"/>
              <w:r w:rsidRPr="00F438D4">
                <w:rPr>
                  <w:rStyle w:val="Hyperlink"/>
                  <w:sz w:val="18"/>
                  <w:szCs w:val="18"/>
                  <w:bdr w:val="none" w:sz="0" w:space="0" w:color="auto" w:frame="1"/>
                  <w:shd w:val="clear" w:color="auto" w:fill="FFFFFF"/>
                </w:rPr>
                <w:t xml:space="preserve"> et al, Lancet </w:t>
              </w:r>
              <w:proofErr w:type="spellStart"/>
              <w:r w:rsidRPr="00F438D4">
                <w:rPr>
                  <w:rStyle w:val="Hyperlink"/>
                  <w:sz w:val="18"/>
                  <w:szCs w:val="18"/>
                  <w:bdr w:val="none" w:sz="0" w:space="0" w:color="auto" w:frame="1"/>
                  <w:shd w:val="clear" w:color="auto" w:fill="FFFFFF"/>
                </w:rPr>
                <w:t>Onco</w:t>
              </w:r>
              <w:r w:rsidRPr="00F438D4">
                <w:rPr>
                  <w:rStyle w:val="Hyperlink"/>
                  <w:sz w:val="18"/>
                  <w:szCs w:val="18"/>
                  <w:bdr w:val="none" w:sz="0" w:space="0" w:color="auto" w:frame="1"/>
                  <w:shd w:val="clear" w:color="auto" w:fill="FFFFFF"/>
                </w:rPr>
                <w:t>l</w:t>
              </w:r>
              <w:proofErr w:type="spellEnd"/>
              <w:r w:rsidRPr="00F438D4">
                <w:rPr>
                  <w:rStyle w:val="Hyperlink"/>
                  <w:sz w:val="18"/>
                  <w:szCs w:val="18"/>
                  <w:bdr w:val="none" w:sz="0" w:space="0" w:color="auto" w:frame="1"/>
                  <w:shd w:val="clear" w:color="auto" w:fill="FFFFFF"/>
                </w:rPr>
                <w:t xml:space="preserve"> 2017</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4531514E"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535EB654" w:rsidR="001E535E" w:rsidRPr="00F438D4" w:rsidRDefault="001361CD" w:rsidP="00D81848">
            <w:pPr>
              <w:pStyle w:val="DocumentTitle"/>
              <w:tabs>
                <w:tab w:val="left" w:pos="1074"/>
              </w:tabs>
              <w:spacing w:before="0" w:after="0"/>
              <w:rPr>
                <w:sz w:val="18"/>
                <w:szCs w:val="20"/>
              </w:rPr>
            </w:pPr>
            <w:r w:rsidRPr="00F438D4">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B1C5BAB" w14:textId="609C6698" w:rsidR="00F438D4" w:rsidRPr="00F438D4" w:rsidRDefault="00F438D4" w:rsidP="001361CD">
            <w:pPr>
              <w:pStyle w:val="DocumentTitle"/>
              <w:tabs>
                <w:tab w:val="left" w:pos="1074"/>
              </w:tabs>
              <w:spacing w:before="0" w:after="0"/>
              <w:rPr>
                <w:sz w:val="18"/>
                <w:szCs w:val="18"/>
              </w:rPr>
            </w:pPr>
            <w:r w:rsidRPr="00F438D4">
              <w:rPr>
                <w:sz w:val="18"/>
                <w:szCs w:val="18"/>
              </w:rPr>
              <w:t>June 19, 2018</w:t>
            </w:r>
          </w:p>
          <w:p w14:paraId="2EE07483" w14:textId="468344C3" w:rsidR="001361CD" w:rsidRPr="00F438D4" w:rsidRDefault="00F438D4" w:rsidP="001361CD">
            <w:pPr>
              <w:pStyle w:val="DocumentTitle"/>
              <w:tabs>
                <w:tab w:val="left" w:pos="1074"/>
              </w:tabs>
              <w:spacing w:before="0" w:after="0"/>
              <w:rPr>
                <w:sz w:val="18"/>
                <w:szCs w:val="18"/>
              </w:rPr>
            </w:pPr>
            <w:hyperlink r:id="rId16" w:history="1">
              <w:proofErr w:type="gramStart"/>
              <w:r w:rsidRPr="00F438D4">
                <w:rPr>
                  <w:rStyle w:val="Hyperlink"/>
                  <w:sz w:val="18"/>
                  <w:szCs w:val="18"/>
                </w:rPr>
                <w:t>for</w:t>
              </w:r>
              <w:proofErr w:type="gramEnd"/>
              <w:r w:rsidRPr="00F438D4">
                <w:rPr>
                  <w:rStyle w:val="Hyperlink"/>
                  <w:sz w:val="18"/>
                  <w:szCs w:val="18"/>
                </w:rPr>
                <w:t xml:space="preserve"> the treatment of patients with locally advanced or metastatic urothelial carcinoma who are not eligible for cisplatin-containing therapy and whose tumors</w:t>
              </w:r>
              <w:r w:rsidRPr="00F438D4">
                <w:rPr>
                  <w:rStyle w:val="Hyperlink"/>
                  <w:sz w:val="18"/>
                  <w:szCs w:val="18"/>
                </w:rPr>
                <w:t xml:space="preserve"> </w:t>
              </w:r>
              <w:r w:rsidRPr="00F438D4">
                <w:rPr>
                  <w:rStyle w:val="Hyperlink"/>
                  <w:sz w:val="18"/>
                  <w:szCs w:val="18"/>
                </w:rPr>
                <w:t>express PD-L1 (Combined Positive Score ≥ 10), or in patients who are not eligible for any platinum-containing chemotherapy regardless of PD-L1 status.</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6338D085"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379E0BD9" w14:textId="77777777" w:rsidR="00F438D4" w:rsidRPr="00F438D4" w:rsidRDefault="00F438D4" w:rsidP="00F438D4">
            <w:pPr>
              <w:pStyle w:val="DocumentTitle"/>
              <w:tabs>
                <w:tab w:val="left" w:pos="1074"/>
              </w:tabs>
              <w:spacing w:before="0" w:after="0"/>
              <w:rPr>
                <w:sz w:val="18"/>
                <w:szCs w:val="18"/>
              </w:rPr>
            </w:pPr>
            <w:r w:rsidRPr="00F438D4">
              <w:rPr>
                <w:sz w:val="18"/>
                <w:szCs w:val="18"/>
              </w:rPr>
              <w:t>June 1, 2018</w:t>
            </w:r>
          </w:p>
          <w:p w14:paraId="4382D7E4" w14:textId="3B48F6AE" w:rsidR="00F438D4" w:rsidRPr="00F438D4" w:rsidRDefault="00F438D4" w:rsidP="00F438D4">
            <w:pPr>
              <w:pStyle w:val="DocumentTitle"/>
              <w:tabs>
                <w:tab w:val="left" w:pos="1074"/>
              </w:tabs>
              <w:spacing w:before="0" w:after="0"/>
              <w:rPr>
                <w:sz w:val="18"/>
                <w:szCs w:val="18"/>
              </w:rPr>
            </w:pPr>
            <w:hyperlink r:id="rId17" w:history="1">
              <w:proofErr w:type="gramStart"/>
              <w:r w:rsidRPr="00F438D4">
                <w:rPr>
                  <w:rStyle w:val="Hyperlink"/>
                  <w:sz w:val="18"/>
                  <w:szCs w:val="18"/>
                </w:rPr>
                <w:t>for</w:t>
              </w:r>
              <w:proofErr w:type="gramEnd"/>
              <w:r w:rsidRPr="00F438D4">
                <w:rPr>
                  <w:rStyle w:val="Hyperlink"/>
                  <w:sz w:val="18"/>
                  <w:szCs w:val="18"/>
                </w:rPr>
                <w:t xml:space="preserve"> the treatment of locally advanced or metastatic urothelial carcinoma in adults who are not eligibl</w:t>
              </w:r>
              <w:r w:rsidRPr="00F438D4">
                <w:rPr>
                  <w:rStyle w:val="Hyperlink"/>
                  <w:sz w:val="18"/>
                  <w:szCs w:val="18"/>
                </w:rPr>
                <w:t>e</w:t>
              </w:r>
              <w:r w:rsidRPr="00F438D4">
                <w:rPr>
                  <w:rStyle w:val="Hyperlink"/>
                  <w:sz w:val="18"/>
                  <w:szCs w:val="18"/>
                </w:rPr>
                <w:t xml:space="preserve"> for cisplatin-containing chemotherapy and whose tumours express PD-L1 with a combined positive score (CPS) ≥10.</w:t>
              </w:r>
            </w:hyperlink>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45395162"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7E99E46" w14:textId="2150FBB4" w:rsidR="0013642F" w:rsidRPr="00F54E4E" w:rsidRDefault="00F438D4" w:rsidP="009677BE">
            <w:pPr>
              <w:pStyle w:val="DocumentTitle"/>
              <w:tabs>
                <w:tab w:val="left" w:pos="1074"/>
              </w:tabs>
              <w:spacing w:before="0" w:after="0"/>
              <w:rPr>
                <w:sz w:val="18"/>
                <w:szCs w:val="18"/>
                <w:highlight w:val="yellow"/>
              </w:rPr>
            </w:pPr>
            <w:r w:rsidRPr="00F438D4">
              <w:rPr>
                <w:sz w:val="18"/>
                <w:szCs w:val="18"/>
              </w:rPr>
              <w:t>Bladder Cancer, Version 5.2017, NCCN Clinical Practice Guidelines in Oncology</w:t>
            </w:r>
            <w:r w:rsidR="00F54E4E">
              <w:rPr>
                <w:sz w:val="18"/>
                <w:szCs w:val="18"/>
              </w:rPr>
              <w:t xml:space="preserve">. </w:t>
            </w:r>
            <w:hyperlink r:id="rId18" w:history="1">
              <w:r w:rsidR="00F54E4E" w:rsidRPr="00F54E4E">
                <w:rPr>
                  <w:rStyle w:val="Hyperlink"/>
                  <w:sz w:val="18"/>
                  <w:szCs w:val="18"/>
                </w:rPr>
                <w:t xml:space="preserve">Natl </w:t>
              </w:r>
              <w:proofErr w:type="spellStart"/>
              <w:r w:rsidR="00F54E4E" w:rsidRPr="00F54E4E">
                <w:rPr>
                  <w:rStyle w:val="Hyperlink"/>
                  <w:sz w:val="18"/>
                  <w:szCs w:val="18"/>
                </w:rPr>
                <w:t>Compr</w:t>
              </w:r>
              <w:proofErr w:type="spellEnd"/>
              <w:r w:rsidR="00F54E4E" w:rsidRPr="00F54E4E">
                <w:rPr>
                  <w:rStyle w:val="Hyperlink"/>
                  <w:sz w:val="18"/>
                  <w:szCs w:val="18"/>
                </w:rPr>
                <w:t xml:space="preserve"> </w:t>
              </w:r>
              <w:proofErr w:type="spellStart"/>
              <w:r w:rsidR="00F54E4E" w:rsidRPr="00F54E4E">
                <w:rPr>
                  <w:rStyle w:val="Hyperlink"/>
                  <w:sz w:val="18"/>
                  <w:szCs w:val="18"/>
                </w:rPr>
                <w:t>Canc</w:t>
              </w:r>
              <w:proofErr w:type="spellEnd"/>
              <w:r w:rsidR="00F54E4E" w:rsidRPr="00F54E4E">
                <w:rPr>
                  <w:rStyle w:val="Hyperlink"/>
                  <w:sz w:val="18"/>
                  <w:szCs w:val="18"/>
                </w:rPr>
                <w:t xml:space="preserve"> </w:t>
              </w:r>
              <w:proofErr w:type="spellStart"/>
              <w:r w:rsidR="00F54E4E" w:rsidRPr="00F54E4E">
                <w:rPr>
                  <w:rStyle w:val="Hyperlink"/>
                  <w:sz w:val="18"/>
                  <w:szCs w:val="18"/>
                </w:rPr>
                <w:t>Netw</w:t>
              </w:r>
              <w:proofErr w:type="spellEnd"/>
              <w:r w:rsidR="00F54E4E" w:rsidRPr="00F54E4E">
                <w:rPr>
                  <w:rStyle w:val="Hyperlink"/>
                  <w:sz w:val="18"/>
                  <w:szCs w:val="18"/>
                </w:rPr>
                <w:t xml:space="preserve"> 2017;15:1</w:t>
              </w:r>
              <w:r w:rsidR="00F54E4E" w:rsidRPr="00F54E4E">
                <w:rPr>
                  <w:rStyle w:val="Hyperlink"/>
                  <w:sz w:val="18"/>
                  <w:szCs w:val="18"/>
                </w:rPr>
                <w:t>2</w:t>
              </w:r>
              <w:r w:rsidR="00F54E4E" w:rsidRPr="00F54E4E">
                <w:rPr>
                  <w:rStyle w:val="Hyperlink"/>
                  <w:sz w:val="18"/>
                  <w:szCs w:val="18"/>
                </w:rPr>
                <w:t>40-1267</w:t>
              </w:r>
            </w:hyperlink>
            <w:r w:rsidR="001361CD" w:rsidRPr="00F438D4">
              <w:rPr>
                <w:sz w:val="18"/>
                <w:szCs w:val="20"/>
                <w:highlight w:val="yellow"/>
              </w:rPr>
              <w:t xml:space="preserve"> </w:t>
            </w:r>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4B811DC9" w:rsidR="001361CD" w:rsidRPr="00F438D4" w:rsidRDefault="00F438D4" w:rsidP="00F438D4">
            <w:pPr>
              <w:pStyle w:val="DocumentTitle"/>
              <w:tabs>
                <w:tab w:val="left" w:pos="1074"/>
              </w:tabs>
              <w:spacing w:before="0" w:after="0"/>
              <w:rPr>
                <w:color w:val="C00000"/>
                <w:sz w:val="18"/>
                <w:szCs w:val="20"/>
                <w:highlight w:val="yellow"/>
              </w:rPr>
            </w:pPr>
            <w:r>
              <w:rPr>
                <w:sz w:val="18"/>
                <w:szCs w:val="20"/>
              </w:rPr>
              <w:t>T</w:t>
            </w:r>
            <w:r w:rsidRPr="00F438D4">
              <w:rPr>
                <w:sz w:val="18"/>
                <w:szCs w:val="20"/>
              </w:rPr>
              <w:t>reatment options for patients with locally advanced or metastatic urothelial carcinoma, who are not eligible for cisplatin-containing chemotherapy is gemcitabine-carboplatin or gemcitabine monotherapy. For patients not eligible for platinum-containing chemotherapy, gemcitabine monotherapy would be offered.</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proofErr w:type="gramStart"/>
      <w:r w:rsidRPr="00EB0EEF">
        <w:rPr>
          <w:rFonts w:ascii="Arial" w:hAnsi="Arial" w:cs="Arial"/>
          <w:sz w:val="14"/>
          <w:vertAlign w:val="superscript"/>
        </w:rPr>
        <w:t>a</w:t>
      </w:r>
      <w:proofErr w:type="gramEnd"/>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 xml:space="preserve">Treatment(s) for the Indication </w:t>
      </w:r>
      <w:proofErr w:type="gramStart"/>
      <w:r w:rsidR="00716B05" w:rsidRPr="00EB0EEF">
        <w:rPr>
          <w:rFonts w:ascii="Arial" w:hAnsi="Arial" w:cs="Arial"/>
          <w:spacing w:val="0"/>
          <w:sz w:val="18"/>
        </w:rPr>
        <w:t>Under</w:t>
      </w:r>
      <w:proofErr w:type="gramEnd"/>
      <w:r w:rsidR="00716B05" w:rsidRPr="00EB0EEF">
        <w:rPr>
          <w:rFonts w:ascii="Arial" w:hAnsi="Arial" w:cs="Arial"/>
          <w:spacing w:val="0"/>
          <w:sz w:val="18"/>
        </w:rPr>
        <w:t xml:space="preserve">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 xml:space="preserve">Do you have experience with using the treatment (through clinical trials, manufacturer’s access program, </w:t>
      </w:r>
      <w:proofErr w:type="gramStart"/>
      <w:r w:rsidRPr="00EB0EEF">
        <w:rPr>
          <w:rFonts w:ascii="Arial" w:hAnsi="Arial" w:cs="Arial"/>
          <w:sz w:val="18"/>
        </w:rPr>
        <w:t>private</w:t>
      </w:r>
      <w:proofErr w:type="gramEnd"/>
      <w:r w:rsidRPr="00EB0EEF">
        <w:rPr>
          <w:rFonts w:ascii="Arial" w:hAnsi="Arial" w:cs="Arial"/>
          <w:sz w:val="18"/>
        </w:rPr>
        <w:t xml:space="preserve"> drug insurance) under review?</w:t>
      </w:r>
    </w:p>
    <w:p w14:paraId="3FA11689" w14:textId="2DD20B39" w:rsidR="00866DE5" w:rsidRPr="00EB0EEF" w:rsidRDefault="00F54E4E"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 xml:space="preserve">re there specific considerations to a testing algorithm that you think would be important to share with the </w:t>
      </w:r>
      <w:proofErr w:type="spellStart"/>
      <w:r w:rsidR="00CE4147" w:rsidRPr="00EB0EEF">
        <w:rPr>
          <w:rFonts w:ascii="Arial" w:hAnsi="Arial" w:cs="Arial"/>
          <w:sz w:val="18"/>
        </w:rPr>
        <w:t>pCODR</w:t>
      </w:r>
      <w:proofErr w:type="spellEnd"/>
      <w:r w:rsidR="00CE4147" w:rsidRPr="00EB0EEF">
        <w:rPr>
          <w:rFonts w:ascii="Arial" w:hAnsi="Arial" w:cs="Arial"/>
          <w:sz w:val="18"/>
        </w:rPr>
        <w:t xml:space="preserve">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7D5628EB" w14:textId="77777777" w:rsidR="00F438D4" w:rsidRPr="00F438D4" w:rsidRDefault="0013642F" w:rsidP="00F438D4">
      <w:pPr>
        <w:pStyle w:val="pCODR1Body"/>
        <w:spacing w:after="0"/>
        <w:ind w:left="360"/>
        <w:rPr>
          <w:rFonts w:ascii="Arial" w:hAnsi="Arial" w:cs="Arial"/>
          <w:sz w:val="18"/>
        </w:rPr>
      </w:pPr>
      <w:r w:rsidRPr="00216316">
        <w:rPr>
          <w:rFonts w:ascii="Arial" w:hAnsi="Arial" w:cs="Arial"/>
          <w:b/>
          <w:sz w:val="18"/>
        </w:rPr>
        <w:t xml:space="preserve">4.1. </w:t>
      </w:r>
      <w:r w:rsidR="00F438D4" w:rsidRPr="00F438D4">
        <w:rPr>
          <w:rFonts w:ascii="Arial" w:hAnsi="Arial" w:cs="Arial"/>
          <w:sz w:val="18"/>
        </w:rPr>
        <w:t xml:space="preserve">In regards to question 3.2 above, the eligibility criteria for the KEYNOTE-052 trial included a specific patient population compared to the broader funding request. In clinical practice, is there evidence to extend the use of </w:t>
      </w:r>
      <w:proofErr w:type="spellStart"/>
      <w:r w:rsidR="00F438D4" w:rsidRPr="00F438D4">
        <w:rPr>
          <w:rFonts w:ascii="Arial" w:hAnsi="Arial" w:cs="Arial"/>
          <w:sz w:val="18"/>
        </w:rPr>
        <w:t>pembrolizumab</w:t>
      </w:r>
      <w:proofErr w:type="spellEnd"/>
      <w:r w:rsidR="00F438D4" w:rsidRPr="00F438D4">
        <w:rPr>
          <w:rFonts w:ascii="Arial" w:hAnsi="Arial" w:cs="Arial"/>
          <w:sz w:val="18"/>
        </w:rPr>
        <w:t xml:space="preserve"> to (</w:t>
      </w:r>
      <w:proofErr w:type="gramStart"/>
      <w:r w:rsidR="00F438D4" w:rsidRPr="00F438D4">
        <w:rPr>
          <w:rFonts w:ascii="Arial" w:hAnsi="Arial" w:cs="Arial"/>
          <w:sz w:val="18"/>
        </w:rPr>
        <w:t>provided</w:t>
      </w:r>
      <w:proofErr w:type="gramEnd"/>
      <w:r w:rsidR="00F438D4" w:rsidRPr="00F438D4">
        <w:rPr>
          <w:rFonts w:ascii="Arial" w:hAnsi="Arial" w:cs="Arial"/>
          <w:sz w:val="18"/>
        </w:rPr>
        <w:t xml:space="preserve"> all other eligibility criteria are met):</w:t>
      </w:r>
    </w:p>
    <w:p w14:paraId="6D6CAA0F" w14:textId="77777777" w:rsidR="00F438D4" w:rsidRDefault="00F438D4" w:rsidP="00F438D4">
      <w:pPr>
        <w:pStyle w:val="pCODR1Body"/>
        <w:spacing w:after="0"/>
        <w:ind w:left="360"/>
        <w:rPr>
          <w:rFonts w:ascii="Arial" w:hAnsi="Arial" w:cs="Arial"/>
          <w:sz w:val="18"/>
        </w:rPr>
      </w:pPr>
      <w:r w:rsidRPr="00F438D4">
        <w:rPr>
          <w:rFonts w:ascii="Arial" w:hAnsi="Arial" w:cs="Arial"/>
          <w:b/>
          <w:sz w:val="18"/>
        </w:rPr>
        <w:t>4.1.1.</w:t>
      </w:r>
      <w:r w:rsidRPr="00F438D4">
        <w:rPr>
          <w:rFonts w:ascii="Arial" w:hAnsi="Arial" w:cs="Arial"/>
          <w:sz w:val="18"/>
        </w:rPr>
        <w:t xml:space="preserve"> Patients with active central nervous system (CNS) metastases and/or carcinomatous meningitis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F438D4" w:rsidRPr="00216316" w14:paraId="315EA966" w14:textId="77777777" w:rsidTr="00EE45AB">
        <w:tc>
          <w:tcPr>
            <w:tcW w:w="10346" w:type="dxa"/>
          </w:tcPr>
          <w:p w14:paraId="773E7014" w14:textId="77777777" w:rsidR="00F438D4" w:rsidRPr="00216316" w:rsidRDefault="00F438D4" w:rsidP="00EE45AB">
            <w:pPr>
              <w:pStyle w:val="pCODR01AppendixHeader"/>
              <w:spacing w:after="0"/>
            </w:pPr>
          </w:p>
        </w:tc>
      </w:tr>
    </w:tbl>
    <w:p w14:paraId="093CA97A" w14:textId="77777777" w:rsidR="00F438D4" w:rsidRPr="00F438D4" w:rsidRDefault="00F438D4" w:rsidP="00F438D4">
      <w:pPr>
        <w:pStyle w:val="pCODR1Body"/>
        <w:spacing w:after="0"/>
        <w:ind w:left="360"/>
        <w:rPr>
          <w:rFonts w:ascii="Arial" w:hAnsi="Arial" w:cs="Arial"/>
          <w:sz w:val="18"/>
        </w:rPr>
      </w:pPr>
    </w:p>
    <w:p w14:paraId="7CC4E553" w14:textId="77777777" w:rsidR="00F438D4" w:rsidRDefault="00F438D4" w:rsidP="00F438D4">
      <w:pPr>
        <w:pStyle w:val="pCODR1Body"/>
        <w:spacing w:after="0"/>
        <w:ind w:left="360"/>
        <w:rPr>
          <w:rFonts w:ascii="Arial" w:hAnsi="Arial" w:cs="Arial"/>
          <w:sz w:val="18"/>
        </w:rPr>
      </w:pPr>
      <w:r w:rsidRPr="00F438D4">
        <w:rPr>
          <w:rFonts w:ascii="Arial" w:hAnsi="Arial" w:cs="Arial"/>
          <w:b/>
          <w:sz w:val="18"/>
        </w:rPr>
        <w:t>4.1.2.</w:t>
      </w:r>
      <w:r w:rsidRPr="00F438D4">
        <w:rPr>
          <w:rFonts w:ascii="Arial" w:hAnsi="Arial" w:cs="Arial"/>
          <w:sz w:val="18"/>
        </w:rPr>
        <w:t xml:space="preserve"> Prior therapy with an anti-PD-1, anti-PD-L1, or anti-PD-L2 agent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F438D4" w:rsidRPr="00216316" w14:paraId="576BDC4D" w14:textId="77777777" w:rsidTr="00EE45AB">
        <w:tc>
          <w:tcPr>
            <w:tcW w:w="10346" w:type="dxa"/>
          </w:tcPr>
          <w:p w14:paraId="5EFE28B0" w14:textId="77777777" w:rsidR="00F438D4" w:rsidRPr="00216316" w:rsidRDefault="00F438D4" w:rsidP="00EE45AB">
            <w:pPr>
              <w:pStyle w:val="pCODR01AppendixHeader"/>
              <w:spacing w:after="0"/>
            </w:pPr>
          </w:p>
        </w:tc>
      </w:tr>
    </w:tbl>
    <w:p w14:paraId="17958AE5" w14:textId="77777777" w:rsidR="00F438D4" w:rsidRPr="00F438D4" w:rsidRDefault="00F438D4" w:rsidP="00F438D4">
      <w:pPr>
        <w:pStyle w:val="pCODR1Body"/>
        <w:spacing w:after="0"/>
        <w:ind w:left="360"/>
        <w:rPr>
          <w:rFonts w:ascii="Arial" w:hAnsi="Arial" w:cs="Arial"/>
          <w:sz w:val="18"/>
        </w:rPr>
      </w:pPr>
    </w:p>
    <w:p w14:paraId="289EA64D" w14:textId="77777777" w:rsidR="00F438D4" w:rsidRDefault="00F438D4" w:rsidP="00F438D4">
      <w:pPr>
        <w:pStyle w:val="pCODR1Body"/>
        <w:spacing w:after="0"/>
        <w:ind w:left="360"/>
        <w:rPr>
          <w:rFonts w:ascii="Arial" w:hAnsi="Arial" w:cs="Arial"/>
          <w:sz w:val="18"/>
        </w:rPr>
      </w:pPr>
      <w:r w:rsidRPr="00F438D4">
        <w:rPr>
          <w:rFonts w:ascii="Arial" w:hAnsi="Arial" w:cs="Arial"/>
          <w:b/>
          <w:sz w:val="18"/>
        </w:rPr>
        <w:t>4.1.3.</w:t>
      </w:r>
      <w:r w:rsidRPr="00F438D4">
        <w:rPr>
          <w:rFonts w:ascii="Arial" w:hAnsi="Arial" w:cs="Arial"/>
          <w:sz w:val="18"/>
        </w:rPr>
        <w:t xml:space="preserve"> Patients with active autoimmune disease</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F438D4" w:rsidRPr="00216316" w14:paraId="55376444" w14:textId="77777777" w:rsidTr="00EE45AB">
        <w:tc>
          <w:tcPr>
            <w:tcW w:w="10346" w:type="dxa"/>
          </w:tcPr>
          <w:p w14:paraId="7B570A69" w14:textId="77777777" w:rsidR="00F438D4" w:rsidRPr="00216316" w:rsidRDefault="00F438D4" w:rsidP="00EE45AB">
            <w:pPr>
              <w:pStyle w:val="pCODR01AppendixHeader"/>
              <w:spacing w:after="0"/>
            </w:pPr>
          </w:p>
        </w:tc>
      </w:tr>
    </w:tbl>
    <w:p w14:paraId="5FEF532F" w14:textId="77777777" w:rsidR="00F438D4" w:rsidRPr="00F438D4" w:rsidRDefault="00F438D4" w:rsidP="00F438D4">
      <w:pPr>
        <w:pStyle w:val="pCODR1Body"/>
        <w:spacing w:after="0"/>
        <w:ind w:left="360"/>
        <w:rPr>
          <w:rFonts w:ascii="Arial" w:hAnsi="Arial" w:cs="Arial"/>
          <w:b/>
          <w:sz w:val="18"/>
        </w:rPr>
      </w:pPr>
    </w:p>
    <w:p w14:paraId="00F966F4" w14:textId="6A4F9127" w:rsidR="00B44453" w:rsidRPr="00216316" w:rsidRDefault="00F438D4" w:rsidP="00F438D4">
      <w:pPr>
        <w:pStyle w:val="pCODR1Body"/>
        <w:spacing w:after="0"/>
        <w:ind w:left="360"/>
        <w:rPr>
          <w:rFonts w:ascii="Arial" w:hAnsi="Arial" w:cs="Arial"/>
          <w:sz w:val="18"/>
        </w:rPr>
      </w:pPr>
      <w:r w:rsidRPr="00F438D4">
        <w:rPr>
          <w:rFonts w:ascii="Arial" w:hAnsi="Arial" w:cs="Arial"/>
          <w:b/>
          <w:sz w:val="18"/>
        </w:rPr>
        <w:t>4.1.4.</w:t>
      </w:r>
      <w:r w:rsidRPr="00F438D4">
        <w:rPr>
          <w:rFonts w:ascii="Arial" w:hAnsi="Arial" w:cs="Arial"/>
          <w:sz w:val="18"/>
        </w:rPr>
        <w:t xml:space="preserve"> Align with patient population for th</w:t>
      </w:r>
      <w:r>
        <w:rPr>
          <w:rFonts w:ascii="Arial" w:hAnsi="Arial" w:cs="Arial"/>
          <w:sz w:val="18"/>
        </w:rPr>
        <w:t xml:space="preserve">e </w:t>
      </w:r>
      <w:proofErr w:type="spellStart"/>
      <w:r>
        <w:rPr>
          <w:rFonts w:ascii="Arial" w:hAnsi="Arial" w:cs="Arial"/>
          <w:sz w:val="18"/>
        </w:rPr>
        <w:t>pembrolizumab</w:t>
      </w:r>
      <w:proofErr w:type="spellEnd"/>
      <w:r>
        <w:rPr>
          <w:rFonts w:ascii="Arial" w:hAnsi="Arial" w:cs="Arial"/>
          <w:sz w:val="18"/>
        </w:rPr>
        <w:t xml:space="preserve"> </w:t>
      </w:r>
      <w:proofErr w:type="spellStart"/>
      <w:r>
        <w:rPr>
          <w:rFonts w:ascii="Arial" w:hAnsi="Arial" w:cs="Arial"/>
          <w:sz w:val="18"/>
        </w:rPr>
        <w:t>pCODR</w:t>
      </w:r>
      <w:proofErr w:type="spellEnd"/>
      <w:r>
        <w:rPr>
          <w:rFonts w:ascii="Arial" w:hAnsi="Arial" w:cs="Arial"/>
          <w:sz w:val="18"/>
        </w:rPr>
        <w:t xml:space="preserve"> review </w:t>
      </w:r>
      <w:r w:rsidRPr="00F438D4">
        <w:rPr>
          <w:rFonts w:ascii="Arial" w:hAnsi="Arial" w:cs="Arial"/>
          <w:sz w:val="18"/>
        </w:rPr>
        <w:t>“For the treatment of patients with locally advanced or metastatic urothelial carcinoma who have disease progression during or following platinum-containing chemotherapy or within 12 months of completing neoadjuvant or adjuvant platinum-containing chemotherapy”. For example, patients with urothelial cancer of predominantly transitional histology of any primary site or patients without formal measurable disease.</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216316" w:rsidRPr="00216316" w14:paraId="5247003C" w14:textId="77777777" w:rsidTr="000028EA">
        <w:tc>
          <w:tcPr>
            <w:tcW w:w="10346" w:type="dxa"/>
          </w:tcPr>
          <w:p w14:paraId="263B76BD" w14:textId="77777777" w:rsidR="001E535E" w:rsidRPr="00216316" w:rsidRDefault="001E535E" w:rsidP="00F438D4">
            <w:pPr>
              <w:pStyle w:val="pCODR01AppendixHeader"/>
              <w:spacing w:after="0"/>
            </w:pPr>
            <w:bookmarkStart w:id="8" w:name="_Appendix_A:_pCODR"/>
            <w:bookmarkStart w:id="9" w:name="_Toc439923603"/>
            <w:bookmarkEnd w:id="8"/>
          </w:p>
        </w:tc>
      </w:tr>
    </w:tbl>
    <w:p w14:paraId="68044900" w14:textId="77777777" w:rsidR="004728ED" w:rsidRDefault="004728ED" w:rsidP="004728ED">
      <w:pPr>
        <w:pStyle w:val="ListParagraph"/>
        <w:autoSpaceDE w:val="0"/>
        <w:autoSpaceDN w:val="0"/>
        <w:adjustRightInd w:val="0"/>
        <w:spacing w:after="0"/>
        <w:ind w:left="390"/>
        <w:rPr>
          <w:rFonts w:ascii="Arial" w:hAnsi="Arial" w:cs="Arial"/>
          <w:b/>
          <w:color w:val="FF0000"/>
          <w:sz w:val="18"/>
        </w:rPr>
      </w:pPr>
    </w:p>
    <w:p w14:paraId="275FE52D" w14:textId="1D4896D3" w:rsidR="000C7342" w:rsidRDefault="000C7342" w:rsidP="001361CD">
      <w:pPr>
        <w:pStyle w:val="pCODR1Body"/>
        <w:spacing w:after="0"/>
        <w:ind w:left="360"/>
        <w:rPr>
          <w:rFonts w:ascii="Arial" w:hAnsi="Arial" w:cs="Arial"/>
          <w:sz w:val="18"/>
          <w:szCs w:val="18"/>
        </w:rPr>
      </w:pPr>
      <w:r w:rsidRPr="00B21B7B">
        <w:rPr>
          <w:rFonts w:ascii="Arial" w:hAnsi="Arial" w:cs="Arial"/>
          <w:b/>
          <w:sz w:val="18"/>
        </w:rPr>
        <w:t xml:space="preserve">4.2. </w:t>
      </w:r>
      <w:r w:rsidR="00F438D4" w:rsidRPr="00F438D4">
        <w:rPr>
          <w:rFonts w:ascii="Arial" w:hAnsi="Arial" w:cs="Arial"/>
          <w:sz w:val="18"/>
          <w:szCs w:val="18"/>
        </w:rPr>
        <w:t xml:space="preserve">In regards to question 3.4 above, please consider what treatment options would be available to patients upon progression of </w:t>
      </w:r>
      <w:proofErr w:type="spellStart"/>
      <w:r w:rsidR="00F438D4" w:rsidRPr="00F438D4">
        <w:rPr>
          <w:rFonts w:ascii="Arial" w:hAnsi="Arial" w:cs="Arial"/>
          <w:sz w:val="18"/>
          <w:szCs w:val="18"/>
        </w:rPr>
        <w:t>pembrolizumab</w:t>
      </w:r>
      <w:proofErr w:type="spellEnd"/>
      <w:r w:rsidR="00F438D4" w:rsidRPr="00F438D4">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F438D4" w:rsidRPr="00216316" w14:paraId="4E59900A" w14:textId="77777777" w:rsidTr="00EE45AB">
        <w:tc>
          <w:tcPr>
            <w:tcW w:w="10346" w:type="dxa"/>
          </w:tcPr>
          <w:p w14:paraId="5CCD62F1" w14:textId="77777777" w:rsidR="00F438D4" w:rsidRPr="00216316" w:rsidRDefault="00F438D4" w:rsidP="00EE45AB">
            <w:pPr>
              <w:pStyle w:val="pCODR01AppendixHeader"/>
              <w:spacing w:after="0"/>
            </w:pPr>
          </w:p>
        </w:tc>
      </w:tr>
    </w:tbl>
    <w:p w14:paraId="2A38FCA9" w14:textId="77777777" w:rsidR="00F438D4" w:rsidRDefault="00F438D4" w:rsidP="001361CD">
      <w:pPr>
        <w:pStyle w:val="pCODR1Body"/>
        <w:spacing w:after="0"/>
        <w:ind w:left="360"/>
        <w:rPr>
          <w:rFonts w:ascii="Arial" w:hAnsi="Arial" w:cs="Arial"/>
          <w:sz w:val="18"/>
          <w:szCs w:val="18"/>
        </w:rPr>
      </w:pPr>
    </w:p>
    <w:p w14:paraId="5BAF986A" w14:textId="0579BC49" w:rsidR="00F438D4" w:rsidRDefault="00F438D4" w:rsidP="001361CD">
      <w:pPr>
        <w:pStyle w:val="pCODR1Body"/>
        <w:spacing w:after="0"/>
        <w:ind w:left="360"/>
        <w:rPr>
          <w:rFonts w:ascii="Arial" w:hAnsi="Arial" w:cs="Arial"/>
          <w:sz w:val="18"/>
          <w:szCs w:val="18"/>
        </w:rPr>
      </w:pPr>
      <w:r w:rsidRPr="00F438D4">
        <w:rPr>
          <w:rFonts w:ascii="Arial" w:hAnsi="Arial" w:cs="Arial"/>
          <w:b/>
          <w:sz w:val="18"/>
          <w:szCs w:val="18"/>
        </w:rPr>
        <w:t>4.2.1.</w:t>
      </w:r>
      <w:r w:rsidRPr="00F438D4">
        <w:rPr>
          <w:rFonts w:ascii="Arial" w:hAnsi="Arial" w:cs="Arial"/>
          <w:sz w:val="18"/>
          <w:szCs w:val="18"/>
        </w:rPr>
        <w:t xml:space="preserve"> In what clinical scenarios would </w:t>
      </w:r>
      <w:bookmarkStart w:id="10" w:name="_GoBack"/>
      <w:proofErr w:type="spellStart"/>
      <w:r w:rsidRPr="00F438D4">
        <w:rPr>
          <w:rFonts w:ascii="Arial" w:hAnsi="Arial" w:cs="Arial"/>
          <w:sz w:val="18"/>
          <w:szCs w:val="18"/>
        </w:rPr>
        <w:t>pembro</w:t>
      </w:r>
      <w:bookmarkEnd w:id="10"/>
      <w:r w:rsidRPr="00F438D4">
        <w:rPr>
          <w:rFonts w:ascii="Arial" w:hAnsi="Arial" w:cs="Arial"/>
          <w:sz w:val="18"/>
          <w:szCs w:val="18"/>
        </w:rPr>
        <w:t>lizumab</w:t>
      </w:r>
      <w:proofErr w:type="spellEnd"/>
      <w:r w:rsidRPr="00F438D4">
        <w:rPr>
          <w:rFonts w:ascii="Arial" w:hAnsi="Arial" w:cs="Arial"/>
          <w:sz w:val="18"/>
          <w:szCs w:val="18"/>
        </w:rPr>
        <w:t xml:space="preserve"> or chemotherapy be the preferred treatment for first-line MUC where patients are not eligible for platinum-containing chemotherapy? Please comment on the preference considering patient preference, efficacy, safety, and administration.</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F438D4" w:rsidRPr="00216316" w14:paraId="270551F3" w14:textId="77777777" w:rsidTr="00EE45AB">
        <w:tc>
          <w:tcPr>
            <w:tcW w:w="10346" w:type="dxa"/>
          </w:tcPr>
          <w:p w14:paraId="38476BF4" w14:textId="77777777" w:rsidR="00F438D4" w:rsidRPr="00216316" w:rsidRDefault="00F438D4" w:rsidP="00EE45AB">
            <w:pPr>
              <w:pStyle w:val="pCODR01AppendixHeader"/>
              <w:spacing w:after="0"/>
            </w:pPr>
          </w:p>
        </w:tc>
      </w:tr>
    </w:tbl>
    <w:p w14:paraId="5A0CCDFE" w14:textId="77777777" w:rsidR="00F438D4" w:rsidRDefault="00F438D4" w:rsidP="001361CD">
      <w:pPr>
        <w:pStyle w:val="pCODR1Body"/>
        <w:spacing w:after="0"/>
        <w:ind w:left="360"/>
        <w:rPr>
          <w:rFonts w:ascii="Arial" w:hAnsi="Arial" w:cs="Arial"/>
          <w:sz w:val="18"/>
          <w:szCs w:val="18"/>
        </w:rPr>
      </w:pPr>
    </w:p>
    <w:p w14:paraId="3F4E6274" w14:textId="7E145175" w:rsidR="00F438D4" w:rsidRPr="00B21B7B" w:rsidRDefault="00F438D4" w:rsidP="001361CD">
      <w:pPr>
        <w:pStyle w:val="pCODR1Body"/>
        <w:spacing w:after="0"/>
        <w:ind w:left="360"/>
        <w:rPr>
          <w:rFonts w:ascii="Arial" w:hAnsi="Arial" w:cs="Arial"/>
          <w:sz w:val="18"/>
        </w:rPr>
      </w:pPr>
      <w:r w:rsidRPr="00F438D4">
        <w:rPr>
          <w:rFonts w:ascii="Arial" w:hAnsi="Arial" w:cs="Arial"/>
          <w:b/>
          <w:sz w:val="18"/>
        </w:rPr>
        <w:t>4.3.</w:t>
      </w:r>
      <w:r w:rsidRPr="00F438D4">
        <w:rPr>
          <w:rFonts w:ascii="Arial" w:hAnsi="Arial" w:cs="Arial"/>
          <w:sz w:val="18"/>
        </w:rPr>
        <w:t xml:space="preserve"> In clinical practice, what is the clinical utility of a Combined Positive Score for PD-L1 in this setting (i.e., patients not eligible for cisplatin-containing chemotherapy and whose tumours express PD L1 [(CPS) ≥10] or patients who are not eligible for any platinum containing chemotherapy regardless of PD L1 status)?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0C7342" w:rsidRPr="00216316" w14:paraId="2596075C" w14:textId="77777777" w:rsidTr="00923B5F">
        <w:tc>
          <w:tcPr>
            <w:tcW w:w="10346" w:type="dxa"/>
          </w:tcPr>
          <w:p w14:paraId="6A85AEF6" w14:textId="77777777" w:rsidR="000C7342" w:rsidRPr="00216316" w:rsidRDefault="000C7342" w:rsidP="00002163">
            <w:pPr>
              <w:pStyle w:val="pCODR01AppendixHeader"/>
            </w:pPr>
          </w:p>
        </w:tc>
      </w:tr>
    </w:tbl>
    <w:p w14:paraId="3FB6D413" w14:textId="77777777" w:rsidR="001E535E" w:rsidRDefault="001E535E">
      <w:pPr>
        <w:rPr>
          <w:rFonts w:ascii="Arial" w:eastAsia="Times New Roman" w:hAnsi="Arial" w:cs="Arial"/>
          <w:b/>
          <w:color w:val="0067B9"/>
          <w:sz w:val="24"/>
          <w:szCs w:val="28"/>
        </w:rPr>
      </w:pPr>
      <w:r>
        <w:rPr>
          <w:b/>
          <w:color w:val="0067B9"/>
          <w:sz w:val="24"/>
          <w:szCs w:val="28"/>
        </w:rPr>
        <w:br w:type="page"/>
      </w:r>
    </w:p>
    <w:p w14:paraId="179EB68B" w14:textId="2175CFE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proofErr w:type="gramStart"/>
      <w:r w:rsidRPr="00EB0EEF">
        <w:rPr>
          <w:rFonts w:ascii="Arial" w:hAnsi="Arial" w:cs="Arial"/>
          <w:sz w:val="18"/>
        </w:rPr>
        <w:t>affiliations</w:t>
      </w:r>
      <w:proofErr w:type="gramEnd"/>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6F35E8BB" w14:textId="4D0E006B"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3235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54E4E">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54E4E">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105EB"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54E4E">
                            <w:rPr>
                              <w:rFonts w:ascii="Arial" w:hAnsi="Arial" w:cs="Arial"/>
                              <w:noProof/>
                              <w:sz w:val="14"/>
                              <w:szCs w:val="14"/>
                            </w:rPr>
                            <w:t>7</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54E4E">
                      <w:rPr>
                        <w:rFonts w:ascii="Arial" w:hAnsi="Arial" w:cs="Arial"/>
                        <w:noProof/>
                        <w:sz w:val="14"/>
                        <w:szCs w:val="14"/>
                      </w:rPr>
                      <w:t>7</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5EF4EB8"/>
    <w:multiLevelType w:val="hybridMultilevel"/>
    <w:tmpl w:val="C1C2A090"/>
    <w:lvl w:ilvl="0" w:tplc="08864FE6">
      <w:start w:val="1"/>
      <w:numFmt w:val="decimal"/>
      <w:lvlText w:val="%1."/>
      <w:lvlJc w:val="left"/>
      <w:pPr>
        <w:ind w:left="390" w:hanging="360"/>
      </w:pPr>
      <w:rPr>
        <w:rFonts w:ascii="Arial" w:eastAsiaTheme="minorHAnsi" w:hAnsi="Arial" w:cs="Arial"/>
        <w:b/>
      </w:rPr>
    </w:lvl>
    <w:lvl w:ilvl="1" w:tplc="41E0C4CE">
      <w:start w:val="1"/>
      <w:numFmt w:val="lowerLetter"/>
      <w:lvlText w:val="%2."/>
      <w:lvlJc w:val="left"/>
      <w:pPr>
        <w:ind w:left="1070" w:hanging="360"/>
      </w:pPr>
      <w:rPr>
        <w:b/>
      </w:rPr>
    </w:lvl>
    <w:lvl w:ilvl="2" w:tplc="1009001B">
      <w:start w:val="1"/>
      <w:numFmt w:val="lowerRoman"/>
      <w:lvlText w:val="%3."/>
      <w:lvlJc w:val="right"/>
      <w:pPr>
        <w:ind w:left="1404" w:hanging="180"/>
      </w:pPr>
    </w:lvl>
    <w:lvl w:ilvl="3" w:tplc="1009000F" w:tentative="1">
      <w:start w:val="1"/>
      <w:numFmt w:val="decimal"/>
      <w:lvlText w:val="%4."/>
      <w:lvlJc w:val="left"/>
      <w:pPr>
        <w:ind w:left="2124" w:hanging="360"/>
      </w:pPr>
    </w:lvl>
    <w:lvl w:ilvl="4" w:tplc="10090019" w:tentative="1">
      <w:start w:val="1"/>
      <w:numFmt w:val="lowerLetter"/>
      <w:lvlText w:val="%5."/>
      <w:lvlJc w:val="left"/>
      <w:pPr>
        <w:ind w:left="2844" w:hanging="360"/>
      </w:pPr>
    </w:lvl>
    <w:lvl w:ilvl="5" w:tplc="1009001B" w:tentative="1">
      <w:start w:val="1"/>
      <w:numFmt w:val="lowerRoman"/>
      <w:lvlText w:val="%6."/>
      <w:lvlJc w:val="right"/>
      <w:pPr>
        <w:ind w:left="3564" w:hanging="180"/>
      </w:pPr>
    </w:lvl>
    <w:lvl w:ilvl="6" w:tplc="1009000F" w:tentative="1">
      <w:start w:val="1"/>
      <w:numFmt w:val="decimal"/>
      <w:lvlText w:val="%7."/>
      <w:lvlJc w:val="left"/>
      <w:pPr>
        <w:ind w:left="4284" w:hanging="360"/>
      </w:pPr>
    </w:lvl>
    <w:lvl w:ilvl="7" w:tplc="10090019" w:tentative="1">
      <w:start w:val="1"/>
      <w:numFmt w:val="lowerLetter"/>
      <w:lvlText w:val="%8."/>
      <w:lvlJc w:val="left"/>
      <w:pPr>
        <w:ind w:left="5004" w:hanging="360"/>
      </w:pPr>
    </w:lvl>
    <w:lvl w:ilvl="8" w:tplc="1009001B" w:tentative="1">
      <w:start w:val="1"/>
      <w:numFmt w:val="lowerRoman"/>
      <w:lvlText w:val="%9."/>
      <w:lvlJc w:val="right"/>
      <w:pPr>
        <w:ind w:left="5724" w:hanging="180"/>
      </w:pPr>
    </w:lvl>
  </w:abstractNum>
  <w:abstractNum w:abstractNumId="15"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10D01BED"/>
    <w:multiLevelType w:val="hybridMultilevel"/>
    <w:tmpl w:val="A0BE1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1"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6CF7C08"/>
    <w:multiLevelType w:val="hybridMultilevel"/>
    <w:tmpl w:val="135295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9A02BC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4"/>
  </w:num>
  <w:num w:numId="15">
    <w:abstractNumId w:val="44"/>
  </w:num>
  <w:num w:numId="16">
    <w:abstractNumId w:val="28"/>
  </w:num>
  <w:num w:numId="17">
    <w:abstractNumId w:val="32"/>
  </w:num>
  <w:num w:numId="18">
    <w:abstractNumId w:val="49"/>
  </w:num>
  <w:num w:numId="19">
    <w:abstractNumId w:val="30"/>
  </w:num>
  <w:num w:numId="20">
    <w:abstractNumId w:val="11"/>
  </w:num>
  <w:num w:numId="21">
    <w:abstractNumId w:val="9"/>
  </w:num>
  <w:num w:numId="22">
    <w:abstractNumId w:val="29"/>
  </w:num>
  <w:num w:numId="23">
    <w:abstractNumId w:val="47"/>
  </w:num>
  <w:num w:numId="24">
    <w:abstractNumId w:val="16"/>
  </w:num>
  <w:num w:numId="25">
    <w:abstractNumId w:val="27"/>
  </w:num>
  <w:num w:numId="26">
    <w:abstractNumId w:val="38"/>
  </w:num>
  <w:num w:numId="27">
    <w:abstractNumId w:val="21"/>
  </w:num>
  <w:num w:numId="28">
    <w:abstractNumId w:val="26"/>
  </w:num>
  <w:num w:numId="29">
    <w:abstractNumId w:val="18"/>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5"/>
  </w:num>
  <w:num w:numId="36">
    <w:abstractNumId w:val="24"/>
  </w:num>
  <w:num w:numId="37">
    <w:abstractNumId w:val="23"/>
  </w:num>
  <w:num w:numId="38">
    <w:abstractNumId w:val="12"/>
  </w:num>
  <w:num w:numId="39">
    <w:abstractNumId w:val="46"/>
  </w:num>
  <w:num w:numId="40">
    <w:abstractNumId w:val="17"/>
  </w:num>
  <w:num w:numId="41">
    <w:abstractNumId w:val="41"/>
  </w:num>
  <w:num w:numId="42">
    <w:abstractNumId w:val="20"/>
  </w:num>
  <w:num w:numId="43">
    <w:abstractNumId w:val="36"/>
  </w:num>
  <w:num w:numId="44">
    <w:abstractNumId w:val="43"/>
  </w:num>
  <w:num w:numId="45">
    <w:abstractNumId w:val="22"/>
  </w:num>
  <w:num w:numId="46">
    <w:abstractNumId w:val="13"/>
  </w:num>
  <w:num w:numId="47">
    <w:abstractNumId w:val="33"/>
  </w:num>
  <w:num w:numId="48">
    <w:abstractNumId w:val="19"/>
  </w:num>
  <w:num w:numId="49">
    <w:abstractNumId w:val="35"/>
  </w:num>
  <w:num w:numId="5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163"/>
    <w:rsid w:val="000028EA"/>
    <w:rsid w:val="00004122"/>
    <w:rsid w:val="00007D1E"/>
    <w:rsid w:val="00010D31"/>
    <w:rsid w:val="0001347C"/>
    <w:rsid w:val="000152A4"/>
    <w:rsid w:val="000247DF"/>
    <w:rsid w:val="00026A06"/>
    <w:rsid w:val="00031ED3"/>
    <w:rsid w:val="00032DC1"/>
    <w:rsid w:val="000373C6"/>
    <w:rsid w:val="0003761C"/>
    <w:rsid w:val="00040410"/>
    <w:rsid w:val="0004273E"/>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C7342"/>
    <w:rsid w:val="000D0D08"/>
    <w:rsid w:val="000D37EC"/>
    <w:rsid w:val="000D3D87"/>
    <w:rsid w:val="000D6D21"/>
    <w:rsid w:val="000D7E08"/>
    <w:rsid w:val="000E4EA1"/>
    <w:rsid w:val="000E625D"/>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1CD"/>
    <w:rsid w:val="0013642F"/>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E535E"/>
    <w:rsid w:val="001F134E"/>
    <w:rsid w:val="002030BD"/>
    <w:rsid w:val="002030DC"/>
    <w:rsid w:val="00205435"/>
    <w:rsid w:val="00205657"/>
    <w:rsid w:val="00206B83"/>
    <w:rsid w:val="002117A9"/>
    <w:rsid w:val="002117F4"/>
    <w:rsid w:val="002157AE"/>
    <w:rsid w:val="00216316"/>
    <w:rsid w:val="00216C7C"/>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27C"/>
    <w:rsid w:val="00347615"/>
    <w:rsid w:val="003559BA"/>
    <w:rsid w:val="00356CB8"/>
    <w:rsid w:val="00360C79"/>
    <w:rsid w:val="003613BC"/>
    <w:rsid w:val="00364061"/>
    <w:rsid w:val="003640EA"/>
    <w:rsid w:val="0036567D"/>
    <w:rsid w:val="003665AC"/>
    <w:rsid w:val="003731D9"/>
    <w:rsid w:val="003811EC"/>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28ED"/>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1C5"/>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2F9B"/>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0A88"/>
    <w:rsid w:val="00891B28"/>
    <w:rsid w:val="00892C3F"/>
    <w:rsid w:val="008962B7"/>
    <w:rsid w:val="008964B0"/>
    <w:rsid w:val="00896DD7"/>
    <w:rsid w:val="008A483B"/>
    <w:rsid w:val="008A74F1"/>
    <w:rsid w:val="008B3F47"/>
    <w:rsid w:val="008C10C2"/>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677BE"/>
    <w:rsid w:val="00970809"/>
    <w:rsid w:val="00970E66"/>
    <w:rsid w:val="0097115A"/>
    <w:rsid w:val="009737CA"/>
    <w:rsid w:val="00983D78"/>
    <w:rsid w:val="00984DB8"/>
    <w:rsid w:val="0098591C"/>
    <w:rsid w:val="00986DF2"/>
    <w:rsid w:val="009870A2"/>
    <w:rsid w:val="00987EC7"/>
    <w:rsid w:val="00992B58"/>
    <w:rsid w:val="00993315"/>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3DA5"/>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1B7B"/>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45A1"/>
    <w:rsid w:val="00D47251"/>
    <w:rsid w:val="00D5162D"/>
    <w:rsid w:val="00D541C3"/>
    <w:rsid w:val="00D57AF0"/>
    <w:rsid w:val="00D6523D"/>
    <w:rsid w:val="00D65E73"/>
    <w:rsid w:val="00D67D0E"/>
    <w:rsid w:val="00D71A08"/>
    <w:rsid w:val="00D73478"/>
    <w:rsid w:val="00D73887"/>
    <w:rsid w:val="00D81848"/>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38D4"/>
    <w:rsid w:val="00F47EB2"/>
    <w:rsid w:val="00F50172"/>
    <w:rsid w:val="00F51221"/>
    <w:rsid w:val="00F51ECF"/>
    <w:rsid w:val="00F54E4E"/>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002163"/>
    <w:pPr>
      <w:keepNext/>
      <w:pageBreakBefore/>
      <w:shd w:val="clear" w:color="auto" w:fill="FFFFFF"/>
      <w:tabs>
        <w:tab w:val="left" w:pos="-1080"/>
        <w:tab w:val="num" w:pos="426"/>
      </w:tabs>
      <w:overflowPunct w:val="0"/>
      <w:autoSpaceDE w:val="0"/>
      <w:autoSpaceDN w:val="0"/>
      <w:adjustRightInd w:val="0"/>
      <w:spacing w:before="161" w:after="161"/>
      <w:textAlignment w:val="baseline"/>
      <w:outlineLvl w:val="0"/>
    </w:pPr>
    <w:rPr>
      <w:rFonts w:ascii="Arial" w:eastAsia="Times New Roman" w:hAnsi="Arial" w:cs="Arial"/>
      <w:b/>
      <w:spacing w:val="-6"/>
      <w:kern w:val="28"/>
      <w:sz w:val="18"/>
      <w:szCs w:val="18"/>
      <w:lang w:eastAsia="en-CA"/>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002163"/>
    <w:rPr>
      <w:rFonts w:ascii="Arial" w:eastAsia="Times New Roman" w:hAnsi="Arial" w:cs="Arial"/>
      <w:b/>
      <w:spacing w:val="-6"/>
      <w:kern w:val="28"/>
      <w:sz w:val="18"/>
      <w:szCs w:val="18"/>
      <w:shd w:val="clear" w:color="auto" w:fill="FFFFFF"/>
      <w:lang w:val="en-CA" w:eastAsia="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szCs w:val="18"/>
      <w:shd w:val="clear" w:color="auto" w:fill="FFFFFF"/>
      <w:lang w:val="en-CA" w:eastAsia="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shd w:val="clear" w:color="auto" w:fill="FFFFFF"/>
      <w:lang w:val="en-CA" w:eastAsia="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shd w:val="clear" w:color="auto" w:fill="FFFFFF"/>
      <w:lang w:val="en-CA" w:eastAsia="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shd w:val="clear" w:color="auto" w:fill="FFFFFF"/>
      <w:lang w:val="en-CA" w:eastAsia="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shd w:val="clear" w:color="auto" w:fill="FFFFFF"/>
      <w:lang w:val="en-CA" w:eastAsia="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shd w:val="clear" w:color="auto" w:fill="FFFFFF"/>
      <w:lang w:val="en-CA" w:eastAsia="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shd w:val="clear" w:color="auto" w:fill="FFFFFF"/>
      <w:lang w:val="en-CA" w:eastAsia="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shd w:val="clear" w:color="auto" w:fill="FFFFFF"/>
      <w:lang w:val="en-CA" w:eastAsia="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szCs w:val="18"/>
      <w:shd w:val="clear" w:color="auto" w:fill="FFFFFF"/>
      <w:lang w:val="en-CA" w:eastAsia="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szCs w:val="18"/>
      <w:shd w:val="clear" w:color="auto" w:fill="FFFFFF"/>
      <w:lang w:val="en-CA" w:eastAsia="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9957">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978730780">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07624461">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416708114">
      <w:bodyDiv w:val="1"/>
      <w:marLeft w:val="0"/>
      <w:marRight w:val="0"/>
      <w:marTop w:val="0"/>
      <w:marBottom w:val="0"/>
      <w:divBdr>
        <w:top w:val="none" w:sz="0" w:space="0" w:color="auto"/>
        <w:left w:val="none" w:sz="0" w:space="0" w:color="auto"/>
        <w:bottom w:val="none" w:sz="0" w:space="0" w:color="auto"/>
        <w:right w:val="none" w:sz="0" w:space="0" w:color="auto"/>
      </w:divBdr>
    </w:div>
    <w:div w:id="1529903414">
      <w:bodyDiv w:val="1"/>
      <w:marLeft w:val="0"/>
      <w:marRight w:val="0"/>
      <w:marTop w:val="0"/>
      <w:marBottom w:val="0"/>
      <w:divBdr>
        <w:top w:val="none" w:sz="0" w:space="0" w:color="auto"/>
        <w:left w:val="none" w:sz="0" w:space="0" w:color="auto"/>
        <w:bottom w:val="none" w:sz="0" w:space="0" w:color="auto"/>
        <w:right w:val="none" w:sz="0" w:space="0" w:color="auto"/>
      </w:divBdr>
    </w:div>
    <w:div w:id="1646272474">
      <w:bodyDiv w:val="1"/>
      <w:marLeft w:val="0"/>
      <w:marRight w:val="0"/>
      <w:marTop w:val="0"/>
      <w:marBottom w:val="0"/>
      <w:divBdr>
        <w:top w:val="none" w:sz="0" w:space="0" w:color="auto"/>
        <w:left w:val="none" w:sz="0" w:space="0" w:color="auto"/>
        <w:bottom w:val="none" w:sz="0" w:space="0" w:color="auto"/>
        <w:right w:val="none" w:sz="0" w:space="0" w:color="auto"/>
      </w:divBdr>
    </w:div>
    <w:div w:id="1700669131">
      <w:bodyDiv w:val="1"/>
      <w:marLeft w:val="0"/>
      <w:marRight w:val="0"/>
      <w:marTop w:val="0"/>
      <w:marBottom w:val="0"/>
      <w:divBdr>
        <w:top w:val="none" w:sz="0" w:space="0" w:color="auto"/>
        <w:left w:val="none" w:sz="0" w:space="0" w:color="auto"/>
        <w:bottom w:val="none" w:sz="0" w:space="0" w:color="auto"/>
        <w:right w:val="none" w:sz="0" w:space="0" w:color="auto"/>
      </w:divBdr>
    </w:div>
    <w:div w:id="1716461904">
      <w:bodyDiv w:val="1"/>
      <w:marLeft w:val="0"/>
      <w:marRight w:val="0"/>
      <w:marTop w:val="0"/>
      <w:marBottom w:val="0"/>
      <w:divBdr>
        <w:top w:val="none" w:sz="0" w:space="0" w:color="auto"/>
        <w:left w:val="none" w:sz="0" w:space="0" w:color="auto"/>
        <w:bottom w:val="none" w:sz="0" w:space="0" w:color="auto"/>
        <w:right w:val="none" w:sz="0" w:space="0" w:color="auto"/>
      </w:divBdr>
    </w:div>
    <w:div w:id="1751585265">
      <w:bodyDiv w:val="1"/>
      <w:marLeft w:val="0"/>
      <w:marRight w:val="0"/>
      <w:marTop w:val="0"/>
      <w:marBottom w:val="0"/>
      <w:divBdr>
        <w:top w:val="none" w:sz="0" w:space="0" w:color="auto"/>
        <w:left w:val="none" w:sz="0" w:space="0" w:color="auto"/>
        <w:bottom w:val="none" w:sz="0" w:space="0" w:color="auto"/>
        <w:right w:val="none" w:sz="0" w:space="0" w:color="auto"/>
      </w:divBdr>
    </w:div>
    <w:div w:id="1825005428">
      <w:bodyDiv w:val="1"/>
      <w:marLeft w:val="0"/>
      <w:marRight w:val="0"/>
      <w:marTop w:val="0"/>
      <w:marBottom w:val="0"/>
      <w:divBdr>
        <w:top w:val="none" w:sz="0" w:space="0" w:color="auto"/>
        <w:left w:val="none" w:sz="0" w:space="0" w:color="auto"/>
        <w:bottom w:val="none" w:sz="0" w:space="0" w:color="auto"/>
        <w:right w:val="none" w:sz="0" w:space="0" w:color="auto"/>
      </w:divBdr>
    </w:div>
    <w:div w:id="1827239013">
      <w:bodyDiv w:val="1"/>
      <w:marLeft w:val="0"/>
      <w:marRight w:val="0"/>
      <w:marTop w:val="0"/>
      <w:marBottom w:val="0"/>
      <w:divBdr>
        <w:top w:val="none" w:sz="0" w:space="0" w:color="auto"/>
        <w:left w:val="none" w:sz="0" w:space="0" w:color="auto"/>
        <w:bottom w:val="none" w:sz="0" w:space="0" w:color="auto"/>
        <w:right w:val="none" w:sz="0" w:space="0" w:color="auto"/>
      </w:divBdr>
    </w:div>
    <w:div w:id="1835026963">
      <w:bodyDiv w:val="1"/>
      <w:marLeft w:val="0"/>
      <w:marRight w:val="0"/>
      <w:marTop w:val="0"/>
      <w:marBottom w:val="0"/>
      <w:divBdr>
        <w:top w:val="none" w:sz="0" w:space="0" w:color="auto"/>
        <w:left w:val="none" w:sz="0" w:space="0" w:color="auto"/>
        <w:bottom w:val="none" w:sz="0" w:space="0" w:color="auto"/>
        <w:right w:val="none" w:sz="0" w:space="0" w:color="auto"/>
      </w:divBdr>
    </w:div>
    <w:div w:id="1994215006">
      <w:bodyDiv w:val="1"/>
      <w:marLeft w:val="0"/>
      <w:marRight w:val="0"/>
      <w:marTop w:val="0"/>
      <w:marBottom w:val="0"/>
      <w:divBdr>
        <w:top w:val="none" w:sz="0" w:space="0" w:color="auto"/>
        <w:left w:val="none" w:sz="0" w:space="0" w:color="auto"/>
        <w:bottom w:val="none" w:sz="0" w:space="0" w:color="auto"/>
        <w:right w:val="none" w:sz="0" w:space="0" w:color="auto"/>
      </w:divBdr>
    </w:div>
    <w:div w:id="2095516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www.jnccn.org/content/15/10/1240.f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ma.europa.eu/documents/press-release/ema-restricts-use-keytruda-tecentriq-bladder-cancer_en.pdf" TargetMode="External"/><Relationship Id="rId2" Type="http://schemas.openxmlformats.org/officeDocument/2006/relationships/numbering" Target="numbering.xml"/><Relationship Id="rId16" Type="http://schemas.openxmlformats.org/officeDocument/2006/relationships/hyperlink" Target="https://www.fda.gov/Drugs/InformationOnDrugs/ApprovedDrugs/ucm6124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science/article/pii/S1470204517306162?via%3Dihub" TargetMode="Externa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3354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C255-43DC-4299-BE5F-9C617B9D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2019-01-15T19:00:00Z</dcterms:modified>
</cp:coreProperties>
</file>