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0C8DB126" w14:textId="77777777" w:rsidR="00912EF7" w:rsidRDefault="00912EF7" w:rsidP="00912EF7">
      <w:pPr>
        <w:spacing w:after="0" w:line="276" w:lineRule="auto"/>
        <w:rPr>
          <w:rFonts w:ascii="Arial" w:hAnsi="Arial" w:cs="Arial"/>
          <w:sz w:val="18"/>
        </w:rPr>
      </w:pPr>
      <w:r>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08ED9C79" w:rsidR="00121EB1" w:rsidRPr="0062043C" w:rsidRDefault="00190997" w:rsidP="0062043C">
            <w:pPr>
              <w:pStyle w:val="DocumentTitle"/>
              <w:tabs>
                <w:tab w:val="left" w:pos="1074"/>
              </w:tabs>
              <w:spacing w:before="0" w:after="0"/>
              <w:rPr>
                <w:sz w:val="18"/>
                <w:szCs w:val="20"/>
              </w:rPr>
            </w:pPr>
            <w:r w:rsidRPr="0062043C">
              <w:rPr>
                <w:sz w:val="18"/>
                <w:szCs w:val="20"/>
              </w:rPr>
              <w:t>pCODR 101</w:t>
            </w:r>
            <w:r w:rsidR="0062043C" w:rsidRPr="0062043C">
              <w:rPr>
                <w:sz w:val="18"/>
                <w:szCs w:val="20"/>
              </w:rPr>
              <w:t>83</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61F712D3" w:rsidR="00F369F8" w:rsidRPr="0062043C" w:rsidRDefault="0062043C" w:rsidP="00EB0EEF">
            <w:pPr>
              <w:pStyle w:val="DocumentTitle"/>
              <w:tabs>
                <w:tab w:val="left" w:pos="1074"/>
              </w:tabs>
              <w:spacing w:before="0" w:after="0"/>
              <w:rPr>
                <w:sz w:val="18"/>
                <w:szCs w:val="20"/>
              </w:rPr>
            </w:pPr>
            <w:r w:rsidRPr="0062043C">
              <w:rPr>
                <w:sz w:val="18"/>
                <w:szCs w:val="20"/>
              </w:rPr>
              <w:t>Lorlatinib (Lorbrena)</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4FBD565D" w:rsidR="00190997" w:rsidRPr="0062043C" w:rsidRDefault="00790E3C" w:rsidP="00190997">
            <w:pPr>
              <w:rPr>
                <w:rFonts w:ascii="Arial" w:eastAsia="Calibri" w:hAnsi="Arial" w:cs="Arial"/>
                <w:b/>
                <w:sz w:val="18"/>
              </w:rPr>
            </w:pPr>
            <w:r w:rsidRPr="0062043C">
              <w:rPr>
                <w:rFonts w:ascii="Arial" w:eastAsia="Calibri" w:hAnsi="Arial" w:cs="Arial"/>
                <w:b/>
                <w:sz w:val="18"/>
              </w:rPr>
              <w:t>Non-Small Cell Lung Cancer</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16E86CC0" w:rsidR="00F369F8" w:rsidRPr="0062043C" w:rsidRDefault="0062043C" w:rsidP="0062043C">
            <w:pPr>
              <w:pStyle w:val="DocumentTitle"/>
              <w:tabs>
                <w:tab w:val="left" w:pos="1074"/>
              </w:tabs>
              <w:spacing w:before="0" w:after="0"/>
              <w:rPr>
                <w:sz w:val="18"/>
                <w:szCs w:val="20"/>
                <w:highlight w:val="yellow"/>
              </w:rPr>
            </w:pPr>
            <w:r>
              <w:rPr>
                <w:sz w:val="18"/>
                <w:szCs w:val="20"/>
              </w:rPr>
              <w:t>A</w:t>
            </w:r>
            <w:r w:rsidRPr="0062043C">
              <w:rPr>
                <w:sz w:val="18"/>
                <w:szCs w:val="20"/>
              </w:rPr>
              <w:t>s monotherapy for the treatment of adult patients with anaplastic lymphoma kinase (ALK)-positive metastatic non-small cell lung cancer (NSCLC) who have progressed on: crizotinib and at least one other ALK inhibitor, or patients who have progressed on ceritinib or alectinib.</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04509CA2" w14:textId="1FD3A210" w:rsidR="0062043C" w:rsidRDefault="00112E7B" w:rsidP="0062043C">
            <w:pPr>
              <w:pStyle w:val="DocumentTitle"/>
              <w:numPr>
                <w:ilvl w:val="0"/>
                <w:numId w:val="52"/>
              </w:numPr>
              <w:tabs>
                <w:tab w:val="left" w:pos="1074"/>
              </w:tabs>
              <w:spacing w:before="0" w:after="0"/>
              <w:rPr>
                <w:sz w:val="18"/>
                <w:szCs w:val="18"/>
              </w:rPr>
            </w:pPr>
            <w:hyperlink r:id="rId14" w:history="1">
              <w:r w:rsidR="0062043C" w:rsidRPr="0062043C">
                <w:rPr>
                  <w:rStyle w:val="Hyperlink"/>
                  <w:sz w:val="18"/>
                  <w:szCs w:val="18"/>
                </w:rPr>
                <w:t>NCT01970865</w:t>
              </w:r>
            </w:hyperlink>
          </w:p>
          <w:p w14:paraId="52AF8FBD" w14:textId="7E008A6D" w:rsidR="0062043C" w:rsidRPr="0062043C" w:rsidRDefault="00112E7B" w:rsidP="0062043C">
            <w:pPr>
              <w:pStyle w:val="DocumentTitle"/>
              <w:numPr>
                <w:ilvl w:val="0"/>
                <w:numId w:val="52"/>
              </w:numPr>
              <w:tabs>
                <w:tab w:val="left" w:pos="1074"/>
              </w:tabs>
              <w:spacing w:before="0" w:after="0"/>
              <w:rPr>
                <w:sz w:val="18"/>
                <w:szCs w:val="18"/>
              </w:rPr>
            </w:pPr>
            <w:hyperlink r:id="rId15" w:history="1">
              <w:r w:rsidR="0062043C" w:rsidRPr="0062043C">
                <w:rPr>
                  <w:rStyle w:val="Hyperlink"/>
                  <w:sz w:val="18"/>
                  <w:szCs w:val="18"/>
                </w:rPr>
                <w:t>Solomon et al, Lancet 2018</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680EA4BA" w14:textId="77777777" w:rsidR="0062043C" w:rsidRDefault="0062043C" w:rsidP="00790E3C">
            <w:pPr>
              <w:pStyle w:val="DocumentTitle"/>
              <w:tabs>
                <w:tab w:val="left" w:pos="1074"/>
              </w:tabs>
              <w:spacing w:after="0"/>
              <w:rPr>
                <w:sz w:val="18"/>
                <w:szCs w:val="20"/>
              </w:rPr>
            </w:pPr>
            <w:r w:rsidRPr="0062043C">
              <w:rPr>
                <w:sz w:val="18"/>
                <w:szCs w:val="20"/>
              </w:rPr>
              <w:t>February 20, 2019</w:t>
            </w:r>
          </w:p>
          <w:p w14:paraId="547CC765" w14:textId="00729BE4" w:rsidR="00790E3C" w:rsidRPr="0062043C" w:rsidRDefault="00112E7B" w:rsidP="00790E3C">
            <w:pPr>
              <w:pStyle w:val="DocumentTitle"/>
              <w:tabs>
                <w:tab w:val="left" w:pos="1074"/>
              </w:tabs>
              <w:spacing w:after="0"/>
              <w:rPr>
                <w:sz w:val="18"/>
                <w:szCs w:val="20"/>
              </w:rPr>
            </w:pPr>
            <w:hyperlink r:id="rId16" w:history="1">
              <w:r w:rsidR="0062043C" w:rsidRPr="0062043C">
                <w:rPr>
                  <w:rStyle w:val="Hyperlink"/>
                  <w:sz w:val="18"/>
                  <w:szCs w:val="20"/>
                </w:rPr>
                <w:t>as monotherapy for the treatment of adult patients with anaplastic lymphoma kinase (ALK)-positive metastatic non-small cell lung cancer (NSCLC) who have progressed on: crizotinib and at least one other ALK inhibitor, or patients who have progressed on ceritinib or alectinib.</w:t>
              </w:r>
            </w:hyperlink>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2A1FE52F" w14:textId="77777777" w:rsidR="0062043C" w:rsidRPr="0062043C" w:rsidRDefault="0062043C" w:rsidP="0033375D">
            <w:pPr>
              <w:pStyle w:val="DocumentTitle"/>
              <w:tabs>
                <w:tab w:val="left" w:pos="1074"/>
              </w:tabs>
              <w:spacing w:after="0"/>
              <w:rPr>
                <w:sz w:val="18"/>
                <w:szCs w:val="20"/>
              </w:rPr>
            </w:pPr>
            <w:r w:rsidRPr="0062043C">
              <w:rPr>
                <w:sz w:val="18"/>
                <w:szCs w:val="20"/>
              </w:rPr>
              <w:t>November 2, 2018</w:t>
            </w:r>
          </w:p>
          <w:p w14:paraId="2EE07483" w14:textId="12723B78" w:rsidR="00275E1C" w:rsidRPr="0062043C" w:rsidRDefault="00112E7B" w:rsidP="0033375D">
            <w:pPr>
              <w:pStyle w:val="DocumentTitle"/>
              <w:tabs>
                <w:tab w:val="left" w:pos="1074"/>
              </w:tabs>
              <w:spacing w:after="0"/>
              <w:rPr>
                <w:sz w:val="18"/>
                <w:szCs w:val="20"/>
              </w:rPr>
            </w:pPr>
            <w:hyperlink r:id="rId17" w:history="1">
              <w:r w:rsidR="0062043C" w:rsidRPr="0062043C">
                <w:rPr>
                  <w:rStyle w:val="Hyperlink"/>
                  <w:sz w:val="18"/>
                  <w:szCs w:val="20"/>
                </w:rPr>
                <w:t>for patients with anaplastic lymphoma kinase (ALK)-positive metastatic non-small cell lung cancer (NSCLC) whose disease has progressed on crizotinib and at least one other ALK inhibitor for metastatic disease or whose disease has progressed on alectinib or ceritinib as the first ALK inhibitor therapy for metastatic disease.</w:t>
              </w:r>
            </w:hyperlink>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B707749" w:rsidR="00F369F8" w:rsidRPr="00DB3BC3" w:rsidRDefault="00275E1C" w:rsidP="00EB0EEF">
            <w:pPr>
              <w:pStyle w:val="DocumentTitle"/>
              <w:tabs>
                <w:tab w:val="left" w:pos="1074"/>
              </w:tabs>
              <w:spacing w:before="0" w:after="0"/>
              <w:rPr>
                <w:color w:val="FFFFFF" w:themeColor="background1"/>
                <w:sz w:val="18"/>
                <w:szCs w:val="20"/>
              </w:rPr>
            </w:pPr>
            <w:r w:rsidRPr="00DB3BC3">
              <w:rPr>
                <w:color w:val="FFFFFF" w:themeColor="background1"/>
                <w:sz w:val="18"/>
                <w:szCs w:val="20"/>
              </w:rPr>
              <w:t>E</w:t>
            </w:r>
            <w:r w:rsidR="00647D2C" w:rsidRPr="00DB3BC3">
              <w:rPr>
                <w:color w:val="FFFFFF" w:themeColor="background1"/>
                <w:sz w:val="18"/>
                <w:szCs w:val="20"/>
              </w:rPr>
              <w:t xml:space="preserve">uropean </w:t>
            </w:r>
            <w:r w:rsidRPr="00DB3BC3">
              <w:rPr>
                <w:color w:val="FFFFFF" w:themeColor="background1"/>
                <w:sz w:val="18"/>
                <w:szCs w:val="20"/>
              </w:rPr>
              <w:t>M</w:t>
            </w:r>
            <w:r w:rsidR="00647D2C" w:rsidRPr="00DB3BC3">
              <w:rPr>
                <w:color w:val="FFFFFF" w:themeColor="background1"/>
                <w:sz w:val="18"/>
                <w:szCs w:val="20"/>
              </w:rPr>
              <w:t xml:space="preserve">edicines </w:t>
            </w:r>
            <w:r w:rsidRPr="00DB3BC3">
              <w:rPr>
                <w:color w:val="FFFFFF" w:themeColor="background1"/>
                <w:sz w:val="18"/>
                <w:szCs w:val="20"/>
              </w:rPr>
              <w:t>A</w:t>
            </w:r>
            <w:r w:rsidR="00647D2C" w:rsidRPr="00DB3BC3">
              <w:rPr>
                <w:color w:val="FFFFFF" w:themeColor="background1"/>
                <w:sz w:val="18"/>
                <w:szCs w:val="20"/>
              </w:rPr>
              <w:t>gency</w:t>
            </w:r>
            <w:r w:rsidRPr="00DB3BC3">
              <w:rPr>
                <w:color w:val="FFFFFF" w:themeColor="background1"/>
                <w:sz w:val="18"/>
                <w:szCs w:val="20"/>
              </w:rPr>
              <w:t xml:space="preserve"> </w:t>
            </w:r>
            <w:r w:rsidR="00716B05" w:rsidRPr="00DB3BC3">
              <w:rPr>
                <w:color w:val="FFFFFF" w:themeColor="background1"/>
                <w:sz w:val="18"/>
                <w:szCs w:val="20"/>
              </w:rPr>
              <w:t>S</w:t>
            </w:r>
            <w:r w:rsidRPr="00DB3BC3">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5492E732" w:rsidR="00DB3BC3" w:rsidRPr="0062043C" w:rsidRDefault="00112E7B" w:rsidP="00DB3BC3">
            <w:pPr>
              <w:pStyle w:val="DocumentTitle"/>
              <w:tabs>
                <w:tab w:val="left" w:pos="1074"/>
              </w:tabs>
              <w:spacing w:after="0"/>
              <w:rPr>
                <w:sz w:val="18"/>
                <w:szCs w:val="20"/>
              </w:rPr>
            </w:pPr>
            <w:hyperlink r:id="rId18" w:history="1">
              <w:r w:rsidR="0062043C" w:rsidRPr="0062043C">
                <w:rPr>
                  <w:rStyle w:val="Hyperlink"/>
                  <w:sz w:val="18"/>
                  <w:szCs w:val="20"/>
                </w:rPr>
                <w:t>Suspended</w:t>
              </w:r>
            </w:hyperlink>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69C830E3" w:rsidR="003100FC" w:rsidRPr="0062043C" w:rsidRDefault="003100FC" w:rsidP="00EB0EEF">
            <w:pPr>
              <w:pStyle w:val="DocumentTitle"/>
              <w:tabs>
                <w:tab w:val="left" w:pos="1074"/>
              </w:tabs>
              <w:spacing w:before="0" w:after="0"/>
              <w:rPr>
                <w:color w:val="FFFFFF" w:themeColor="background1"/>
                <w:sz w:val="18"/>
                <w:szCs w:val="20"/>
              </w:rPr>
            </w:pPr>
            <w:r w:rsidRPr="0062043C">
              <w:rPr>
                <w:color w:val="FFFFFF" w:themeColor="background1"/>
                <w:sz w:val="18"/>
                <w:szCs w:val="20"/>
              </w:rPr>
              <w:t>Practice Guidelines</w:t>
            </w:r>
            <w:r w:rsidR="00D47251" w:rsidRPr="0062043C">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69664700" w14:textId="253F3CE0" w:rsidR="009A59AA" w:rsidRPr="0062043C" w:rsidRDefault="00112E7B" w:rsidP="00DB3BC3">
            <w:pPr>
              <w:pStyle w:val="DocumentTitle"/>
              <w:numPr>
                <w:ilvl w:val="0"/>
                <w:numId w:val="49"/>
              </w:numPr>
              <w:tabs>
                <w:tab w:val="left" w:pos="1074"/>
              </w:tabs>
              <w:spacing w:before="0" w:after="0"/>
              <w:rPr>
                <w:sz w:val="18"/>
                <w:szCs w:val="20"/>
              </w:rPr>
            </w:pPr>
            <w:hyperlink r:id="rId19" w:history="1">
              <w:r w:rsidR="00790E3C" w:rsidRPr="0062043C">
                <w:rPr>
                  <w:rStyle w:val="Hyperlink"/>
                  <w:sz w:val="18"/>
                  <w:szCs w:val="20"/>
                </w:rPr>
                <w:t>NCCN NSCLC guidelines.</w:t>
              </w:r>
            </w:hyperlink>
          </w:p>
          <w:p w14:paraId="17E99E46" w14:textId="50E06370" w:rsidR="00420EEA" w:rsidRPr="0062043C" w:rsidRDefault="00790E3C" w:rsidP="0062043C">
            <w:pPr>
              <w:pStyle w:val="DocumentTitle"/>
              <w:numPr>
                <w:ilvl w:val="0"/>
                <w:numId w:val="49"/>
              </w:numPr>
              <w:tabs>
                <w:tab w:val="left" w:pos="1074"/>
              </w:tabs>
              <w:spacing w:before="0" w:after="0"/>
              <w:rPr>
                <w:sz w:val="18"/>
                <w:szCs w:val="20"/>
              </w:rPr>
            </w:pPr>
            <w:r w:rsidRPr="0062043C">
              <w:rPr>
                <w:sz w:val="18"/>
                <w:szCs w:val="20"/>
              </w:rPr>
              <w:t xml:space="preserve">Metastatic Non-Small-Cell Lung Cancer: ESMO Clinical Practice Guidelines for diagnosis, treatment and follow-up. </w:t>
            </w:r>
            <w:hyperlink r:id="rId20" w:history="1">
              <w:r w:rsidRPr="0062043C">
                <w:rPr>
                  <w:rStyle w:val="Hyperlink"/>
                  <w:sz w:val="18"/>
                  <w:szCs w:val="20"/>
                </w:rPr>
                <w:t>Ann Oncol (2018) 29 (suppl 4): iv192–iv237.</w:t>
              </w:r>
            </w:hyperlink>
            <w:r w:rsidRPr="0062043C">
              <w:rPr>
                <w:sz w:val="18"/>
                <w:szCs w:val="20"/>
              </w:rPr>
              <w:t xml:space="preserve"> </w:t>
            </w:r>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675B9404" w14:textId="6E42B21A" w:rsidR="0062043C" w:rsidRDefault="0062043C" w:rsidP="00DB3BC3">
            <w:pPr>
              <w:pStyle w:val="DocumentTitle"/>
              <w:tabs>
                <w:tab w:val="left" w:pos="1074"/>
              </w:tabs>
              <w:spacing w:before="0" w:after="0"/>
              <w:rPr>
                <w:sz w:val="18"/>
                <w:szCs w:val="20"/>
              </w:rPr>
            </w:pPr>
            <w:r w:rsidRPr="0062043C">
              <w:rPr>
                <w:sz w:val="18"/>
                <w:szCs w:val="20"/>
              </w:rPr>
              <w:t xml:space="preserve">Currently, second-line and beyond treatment options for patients with ALK-positive NSCLC who have failed crizotinib and at least one other ALK inhibitor, or who have progressed on ceritinib or alectinib, include chemotherapy (docetaxel, platinum doublet or pemetrexed), erlotinib, and immunotherapy (atezolizumab, nivolumab or pembrolizumab). </w:t>
            </w:r>
            <w:r>
              <w:rPr>
                <w:sz w:val="18"/>
                <w:szCs w:val="20"/>
              </w:rPr>
              <w:t>C</w:t>
            </w:r>
            <w:r w:rsidRPr="0062043C">
              <w:rPr>
                <w:sz w:val="18"/>
                <w:szCs w:val="20"/>
              </w:rPr>
              <w:t>eritinib is funded in most jurisdictions, alectinib has been recently reviewed at pCODR, and brigatinib is currently under review at pCODR.</w:t>
            </w:r>
          </w:p>
          <w:p w14:paraId="3F4A5BC8" w14:textId="77777777" w:rsidR="0062043C" w:rsidRDefault="0062043C" w:rsidP="00DB3BC3">
            <w:pPr>
              <w:pStyle w:val="DocumentTitle"/>
              <w:tabs>
                <w:tab w:val="left" w:pos="1074"/>
              </w:tabs>
              <w:spacing w:before="0" w:after="0"/>
              <w:rPr>
                <w:sz w:val="18"/>
                <w:szCs w:val="20"/>
              </w:rPr>
            </w:pPr>
          </w:p>
          <w:p w14:paraId="09ECBE82" w14:textId="3827AF97" w:rsidR="00420EEA" w:rsidRPr="0033375D" w:rsidRDefault="00DB3BC3" w:rsidP="00790E3C">
            <w:pPr>
              <w:pStyle w:val="DocumentTitle"/>
              <w:tabs>
                <w:tab w:val="left" w:pos="1074"/>
              </w:tabs>
              <w:spacing w:after="0"/>
              <w:rPr>
                <w:sz w:val="18"/>
                <w:szCs w:val="20"/>
                <w:highlight w:val="yellow"/>
              </w:rPr>
            </w:pPr>
            <w:r w:rsidRPr="0013642F">
              <w:rPr>
                <w:sz w:val="18"/>
                <w:szCs w:val="18"/>
              </w:rPr>
              <w:t xml:space="preserve">See Appendix B – Provincial Funding of Treatments for </w:t>
            </w:r>
            <w:r w:rsidR="00790E3C">
              <w:rPr>
                <w:sz w:val="18"/>
                <w:szCs w:val="18"/>
              </w:rPr>
              <w:t>ALK-positive NSCLC</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112E7B"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5"/>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p w14:paraId="51E23CAB" w14:textId="77777777" w:rsidR="00AD3E90" w:rsidRDefault="00DE452C" w:rsidP="000028EA">
      <w:pPr>
        <w:pStyle w:val="pCODR11Bullet1stLevel"/>
        <w:numPr>
          <w:ilvl w:val="0"/>
          <w:numId w:val="42"/>
        </w:numPr>
        <w:spacing w:after="60" w:line="276" w:lineRule="auto"/>
        <w:ind w:left="1260" w:right="864" w:hanging="187"/>
        <w:rPr>
          <w:rFonts w:ascii="Arial" w:hAnsi="Arial" w:cs="Arial"/>
          <w:b/>
          <w:sz w:val="18"/>
        </w:rPr>
      </w:pPr>
      <w:r w:rsidRPr="00DE452C">
        <w:rPr>
          <w:rFonts w:ascii="Arial" w:hAnsi="Arial" w:cs="Arial"/>
          <w:b/>
          <w:sz w:val="18"/>
        </w:rPr>
        <w:t xml:space="preserve">Implementation Question: </w:t>
      </w:r>
      <w:r w:rsidR="00AD3E90">
        <w:rPr>
          <w:rFonts w:ascii="Arial" w:hAnsi="Arial" w:cs="Arial"/>
          <w:b/>
          <w:sz w:val="18"/>
        </w:rPr>
        <w:t>Please consider the optimal sequencing of treatment for patients with ALK-positive NSCLC, specifically:</w:t>
      </w:r>
      <w:r w:rsidR="00AD3E90" w:rsidRPr="00AD3E90">
        <w:rPr>
          <w:rFonts w:ascii="Arial" w:hAnsi="Arial" w:cs="Arial"/>
          <w:b/>
          <w:sz w:val="18"/>
        </w:rPr>
        <w:t xml:space="preserve"> </w:t>
      </w:r>
      <w:r w:rsidR="00AD3E90" w:rsidRPr="00DE452C">
        <w:rPr>
          <w:rFonts w:ascii="Arial" w:hAnsi="Arial" w:cs="Arial"/>
          <w:b/>
          <w:sz w:val="18"/>
        </w:rPr>
        <w:t>ALK inhibitors (brigatinib, crizotinib, alectinib, ceritinib), chemotherapy, and immunotherapy. In clinical practice, if lorlatinib was available</w:t>
      </w:r>
      <w:r w:rsidR="00AD3E90">
        <w:rPr>
          <w:rFonts w:ascii="Arial" w:hAnsi="Arial" w:cs="Arial"/>
          <w:b/>
          <w:sz w:val="18"/>
        </w:rPr>
        <w:t>,</w:t>
      </w:r>
    </w:p>
    <w:p w14:paraId="7D3F253C" w14:textId="190DBE89" w:rsidR="00DE452C" w:rsidRPr="00AD3E90" w:rsidRDefault="00AD3E90" w:rsidP="00AD3E90">
      <w:pPr>
        <w:pStyle w:val="pCODR11Bullet1stLevel"/>
        <w:numPr>
          <w:ilvl w:val="1"/>
          <w:numId w:val="42"/>
        </w:numPr>
        <w:spacing w:after="60" w:line="276" w:lineRule="auto"/>
        <w:ind w:right="864"/>
        <w:rPr>
          <w:rFonts w:ascii="Arial" w:hAnsi="Arial" w:cs="Arial"/>
          <w:b/>
          <w:sz w:val="18"/>
        </w:rPr>
      </w:pPr>
      <w:r w:rsidRPr="00DE452C">
        <w:rPr>
          <w:rFonts w:ascii="Arial" w:hAnsi="Arial" w:cs="Arial"/>
          <w:b/>
          <w:sz w:val="18"/>
        </w:rPr>
        <w:t>How does lorlatinib compared to other ALK inhibitors (i.e., brigatinib, alectinib, ceritinib, crizotinib)? Please comment on the preference considering patient preference, efficacy, safety, and administration.</w:t>
      </w:r>
      <w:r>
        <w:rPr>
          <w:rFonts w:ascii="Arial" w:hAnsi="Arial" w:cs="Arial"/>
          <w:b/>
          <w:sz w:val="18"/>
        </w:rPr>
        <w:t xml:space="preserve"> </w:t>
      </w:r>
      <w:r w:rsidR="00DE452C" w:rsidRPr="00AD3E90">
        <w:rPr>
          <w:rFonts w:ascii="Arial" w:hAnsi="Arial" w:cs="Arial"/>
          <w:b/>
          <w:sz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6"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6"/>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7"/>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59ECA1E7" w14:textId="6E7B316C" w:rsidR="00790E3C" w:rsidRPr="00AD3E90" w:rsidRDefault="00364061" w:rsidP="00AD3E90">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w:t>
      </w:r>
      <w:bookmarkStart w:id="8" w:name="_GoBack"/>
      <w:bookmarkEnd w:id="8"/>
      <w:r w:rsidR="006F03F1" w:rsidRPr="00EB0EEF">
        <w:rPr>
          <w:rFonts w:ascii="Arial" w:hAnsi="Arial" w:cs="Arial"/>
          <w:sz w:val="18"/>
        </w:rPr>
        <w:t xml:space="preserve">her factors, when </w:t>
      </w:r>
      <w:r w:rsidRPr="00EB0EEF">
        <w:rPr>
          <w:rFonts w:ascii="Arial" w:hAnsi="Arial" w:cs="Arial"/>
          <w:sz w:val="18"/>
        </w:rPr>
        <w:t xml:space="preserve">Ministries of Health and </w:t>
      </w:r>
      <w:r w:rsidR="006F03F1" w:rsidRPr="00EB0EEF">
        <w:rPr>
          <w:rFonts w:ascii="Arial" w:hAnsi="Arial" w:cs="Arial"/>
          <w:sz w:val="18"/>
        </w:rPr>
        <w:t xml:space="preserve">provincial cancer programs make their </w:t>
      </w:r>
      <w:r w:rsidR="006F03F1" w:rsidRPr="00790E3C">
        <w:rPr>
          <w:rFonts w:ascii="Arial" w:hAnsi="Arial" w:cs="Arial"/>
          <w:sz w:val="18"/>
        </w:rPr>
        <w:t>final funding decisions.</w:t>
      </w:r>
    </w:p>
    <w:p w14:paraId="5D05F9DD" w14:textId="0CAF0655" w:rsidR="00790E3C" w:rsidRPr="00AD3E90" w:rsidRDefault="00790E3C" w:rsidP="00790E3C">
      <w:pPr>
        <w:pStyle w:val="pCODR1Body"/>
        <w:spacing w:after="0" w:line="276" w:lineRule="auto"/>
        <w:ind w:left="360"/>
        <w:rPr>
          <w:rFonts w:ascii="Arial" w:hAnsi="Arial" w:cs="Arial"/>
          <w:b/>
          <w:sz w:val="18"/>
        </w:rPr>
      </w:pPr>
      <w:r w:rsidRPr="00AD3E90">
        <w:rPr>
          <w:rFonts w:ascii="Arial" w:hAnsi="Arial" w:cs="Arial"/>
          <w:b/>
          <w:sz w:val="18"/>
        </w:rPr>
        <w:t>4.</w:t>
      </w:r>
      <w:r w:rsidR="00AD3E90" w:rsidRPr="00AD3E90">
        <w:rPr>
          <w:rFonts w:ascii="Arial" w:hAnsi="Arial" w:cs="Arial"/>
          <w:b/>
          <w:sz w:val="18"/>
        </w:rPr>
        <w:t>1</w:t>
      </w:r>
      <w:r w:rsidRPr="00AD3E90">
        <w:rPr>
          <w:rFonts w:ascii="Arial" w:hAnsi="Arial" w:cs="Arial"/>
          <w:b/>
          <w:sz w:val="18"/>
        </w:rPr>
        <w:t xml:space="preserve">. </w:t>
      </w:r>
      <w:r w:rsidR="00112E7B" w:rsidRPr="00112E7B">
        <w:rPr>
          <w:rFonts w:ascii="Arial" w:hAnsi="Arial" w:cs="Arial"/>
          <w:b/>
          <w:sz w:val="18"/>
        </w:rPr>
        <w:t xml:space="preserve">Is there evidence to support </w:t>
      </w:r>
      <w:r w:rsidRPr="00AD3E90">
        <w:rPr>
          <w:rFonts w:ascii="Arial" w:hAnsi="Arial" w:cs="Arial"/>
          <w:b/>
          <w:sz w:val="18"/>
        </w:rPr>
        <w:t>the number of ALK inhibitors a patient should receive in their treatment trajectory for ALK-positive NSCLC.</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790E3C" w14:paraId="0AB4ECC9" w14:textId="77777777" w:rsidTr="007E5E01">
        <w:trPr>
          <w:trHeight w:val="419"/>
        </w:trPr>
        <w:tc>
          <w:tcPr>
            <w:tcW w:w="10292" w:type="dxa"/>
          </w:tcPr>
          <w:p w14:paraId="494F852D" w14:textId="77777777" w:rsidR="00790E3C" w:rsidRDefault="00790E3C" w:rsidP="007E5E01">
            <w:pPr>
              <w:pStyle w:val="pCODR01AppendixHeader"/>
              <w:spacing w:before="0" w:after="0"/>
              <w:rPr>
                <w:rFonts w:ascii="Arial" w:hAnsi="Arial" w:cs="Arial"/>
                <w:spacing w:val="0"/>
              </w:rPr>
            </w:pPr>
          </w:p>
        </w:tc>
      </w:tr>
    </w:tbl>
    <w:p w14:paraId="340DF157" w14:textId="77777777" w:rsidR="005A362F" w:rsidRDefault="005A362F" w:rsidP="005A362F">
      <w:pPr>
        <w:pStyle w:val="pCODR1Body"/>
        <w:spacing w:after="0" w:line="276" w:lineRule="auto"/>
        <w:rPr>
          <w:rFonts w:ascii="Arial" w:hAnsi="Arial" w:cs="Arial"/>
          <w:sz w:val="18"/>
        </w:rPr>
      </w:pPr>
    </w:p>
    <w:p w14:paraId="71066E37" w14:textId="77777777" w:rsidR="00790E3C" w:rsidRDefault="00790E3C">
      <w:pPr>
        <w:rPr>
          <w:rFonts w:ascii="Arial" w:eastAsia="Times New Roman" w:hAnsi="Arial" w:cs="Arial"/>
          <w:b/>
          <w:color w:val="0067B9"/>
          <w:sz w:val="24"/>
          <w:szCs w:val="28"/>
        </w:rPr>
      </w:pPr>
      <w:bookmarkStart w:id="9" w:name="_Toc439923603"/>
      <w:r>
        <w:rPr>
          <w:b/>
          <w:color w:val="0067B9"/>
          <w:sz w:val="24"/>
          <w:szCs w:val="28"/>
        </w:rPr>
        <w:br w:type="page"/>
      </w:r>
    </w:p>
    <w:p w14:paraId="179EB68B" w14:textId="450BCEB9"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2C10C24B" w:rsidR="0033375D" w:rsidRDefault="0033375D">
      <w:pPr>
        <w:rPr>
          <w:rFonts w:ascii="Arial" w:hAnsi="Arial" w:cs="Arial"/>
          <w:sz w:val="18"/>
          <w:szCs w:val="18"/>
        </w:rPr>
      </w:pPr>
      <w:r>
        <w:rPr>
          <w:rFonts w:ascii="Arial" w:hAnsi="Arial" w:cs="Arial"/>
          <w:sz w:val="18"/>
          <w:szCs w:val="18"/>
        </w:rPr>
        <w:br w:type="page"/>
      </w:r>
    </w:p>
    <w:p w14:paraId="6B1BD7E3" w14:textId="77777777" w:rsidR="00790E3C" w:rsidRPr="002D76CC" w:rsidRDefault="00790E3C" w:rsidP="00790E3C">
      <w:pPr>
        <w:pStyle w:val="pCODR01AppendixHeader"/>
      </w:pPr>
      <w:r w:rsidRPr="00FB5292">
        <w:lastRenderedPageBreak/>
        <w:t>Appendix</w:t>
      </w:r>
      <w:r w:rsidRPr="00F90A13">
        <w:t xml:space="preserve"> B</w:t>
      </w:r>
      <w:r w:rsidRPr="00FB5292">
        <w:t xml:space="preserve">: </w:t>
      </w:r>
      <w:r>
        <w:t xml:space="preserve">Provincial Funding of </w:t>
      </w:r>
      <w:r w:rsidRPr="00F90A13">
        <w:t xml:space="preserve">Treatments for </w:t>
      </w:r>
      <w:r>
        <w:t xml:space="preserve">ALK-positive NSCLC </w:t>
      </w:r>
    </w:p>
    <w:p w14:paraId="5A5F42FE" w14:textId="77777777" w:rsidR="0062043C" w:rsidRPr="00E45753" w:rsidRDefault="0062043C" w:rsidP="0062043C">
      <w:pPr>
        <w:pStyle w:val="pCODR01AppendixHeader"/>
        <w:rPr>
          <w:b w:val="0"/>
          <w:sz w:val="22"/>
          <w:szCs w:val="22"/>
        </w:rPr>
      </w:pPr>
      <w:r w:rsidRPr="00E45753">
        <w:rPr>
          <w:b w:val="0"/>
          <w:sz w:val="22"/>
          <w:szCs w:val="22"/>
        </w:rPr>
        <w:t>As of March 5, 2019</w:t>
      </w:r>
    </w:p>
    <w:p w14:paraId="139A02D6" w14:textId="77777777" w:rsidR="0062043C" w:rsidRPr="00E45753" w:rsidRDefault="0062043C" w:rsidP="0062043C">
      <w:pPr>
        <w:pStyle w:val="pCODR01AppendixHeader"/>
        <w:rPr>
          <w:b w:val="0"/>
          <w:sz w:val="22"/>
          <w:szCs w:val="22"/>
        </w:rPr>
      </w:pPr>
      <w:r w:rsidRPr="00E45753">
        <w:rPr>
          <w:b w:val="0"/>
          <w:sz w:val="22"/>
          <w:szCs w:val="22"/>
        </w:rPr>
        <w:t>NOTE: All drugs subjected to eligibility criteria.</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45"/>
        <w:gridCol w:w="986"/>
        <w:gridCol w:w="1006"/>
        <w:gridCol w:w="1154"/>
        <w:gridCol w:w="1627"/>
        <w:gridCol w:w="1161"/>
      </w:tblGrid>
      <w:tr w:rsidR="0062043C" w:rsidRPr="0062043C" w14:paraId="5D8FC941" w14:textId="77777777" w:rsidTr="006628E4">
        <w:trPr>
          <w:trHeight w:val="149"/>
        </w:trPr>
        <w:tc>
          <w:tcPr>
            <w:tcW w:w="0" w:type="auto"/>
            <w:shd w:val="clear" w:color="auto" w:fill="F2F2F2" w:themeFill="background1" w:themeFillShade="F2"/>
          </w:tcPr>
          <w:p w14:paraId="166B8930" w14:textId="77777777" w:rsidR="0062043C" w:rsidRPr="0062043C" w:rsidRDefault="0062043C" w:rsidP="006628E4">
            <w:pPr>
              <w:spacing w:after="0"/>
              <w:contextualSpacing/>
              <w:jc w:val="center"/>
              <w:rPr>
                <w:b/>
                <w:bCs/>
                <w:szCs w:val="20"/>
              </w:rPr>
            </w:pPr>
          </w:p>
        </w:tc>
        <w:tc>
          <w:tcPr>
            <w:tcW w:w="0" w:type="auto"/>
            <w:shd w:val="clear" w:color="auto" w:fill="F2F2F2" w:themeFill="background1" w:themeFillShade="F2"/>
          </w:tcPr>
          <w:p w14:paraId="367AA7D1" w14:textId="77777777" w:rsidR="0062043C" w:rsidRPr="0062043C" w:rsidRDefault="0062043C" w:rsidP="006628E4">
            <w:pPr>
              <w:spacing w:after="0"/>
              <w:contextualSpacing/>
              <w:jc w:val="center"/>
              <w:rPr>
                <w:b/>
                <w:bCs/>
                <w:szCs w:val="20"/>
              </w:rPr>
            </w:pPr>
            <w:r w:rsidRPr="0062043C">
              <w:rPr>
                <w:b/>
                <w:bCs/>
                <w:szCs w:val="20"/>
              </w:rPr>
              <w:t>Ceritinib</w:t>
            </w:r>
          </w:p>
        </w:tc>
        <w:tc>
          <w:tcPr>
            <w:tcW w:w="0" w:type="auto"/>
            <w:shd w:val="clear" w:color="auto" w:fill="F2F2F2" w:themeFill="background1" w:themeFillShade="F2"/>
          </w:tcPr>
          <w:p w14:paraId="1A84CB4E" w14:textId="77777777" w:rsidR="0062043C" w:rsidRPr="0062043C" w:rsidRDefault="0062043C" w:rsidP="006628E4">
            <w:pPr>
              <w:spacing w:after="0"/>
              <w:contextualSpacing/>
              <w:jc w:val="center"/>
              <w:rPr>
                <w:b/>
                <w:bCs/>
                <w:szCs w:val="20"/>
              </w:rPr>
            </w:pPr>
            <w:r w:rsidRPr="0062043C">
              <w:rPr>
                <w:b/>
                <w:bCs/>
                <w:szCs w:val="20"/>
              </w:rPr>
              <w:t>Alectinib</w:t>
            </w:r>
          </w:p>
        </w:tc>
        <w:tc>
          <w:tcPr>
            <w:tcW w:w="0" w:type="auto"/>
            <w:shd w:val="clear" w:color="auto" w:fill="F2F2F2" w:themeFill="background1" w:themeFillShade="F2"/>
          </w:tcPr>
          <w:p w14:paraId="737822A9" w14:textId="77777777" w:rsidR="0062043C" w:rsidRPr="0062043C" w:rsidRDefault="0062043C" w:rsidP="006628E4">
            <w:pPr>
              <w:spacing w:after="0"/>
              <w:contextualSpacing/>
              <w:jc w:val="center"/>
              <w:rPr>
                <w:b/>
                <w:bCs/>
                <w:szCs w:val="20"/>
              </w:rPr>
            </w:pPr>
            <w:r w:rsidRPr="0062043C">
              <w:rPr>
                <w:b/>
                <w:bCs/>
                <w:szCs w:val="20"/>
              </w:rPr>
              <w:t>Nivolumab</w:t>
            </w:r>
          </w:p>
        </w:tc>
        <w:tc>
          <w:tcPr>
            <w:tcW w:w="0" w:type="auto"/>
            <w:shd w:val="clear" w:color="auto" w:fill="F2F2F2" w:themeFill="background1" w:themeFillShade="F2"/>
          </w:tcPr>
          <w:p w14:paraId="62D6977E" w14:textId="77777777" w:rsidR="0062043C" w:rsidRPr="0062043C" w:rsidRDefault="0062043C" w:rsidP="006628E4">
            <w:pPr>
              <w:spacing w:after="0"/>
              <w:contextualSpacing/>
              <w:jc w:val="center"/>
              <w:rPr>
                <w:b/>
                <w:bCs/>
                <w:szCs w:val="20"/>
              </w:rPr>
            </w:pPr>
            <w:r w:rsidRPr="0062043C">
              <w:rPr>
                <w:b/>
                <w:bCs/>
                <w:szCs w:val="20"/>
              </w:rPr>
              <w:t>Pembrolizumab</w:t>
            </w:r>
          </w:p>
        </w:tc>
        <w:tc>
          <w:tcPr>
            <w:tcW w:w="0" w:type="auto"/>
            <w:shd w:val="clear" w:color="auto" w:fill="F2F2F2" w:themeFill="background1" w:themeFillShade="F2"/>
          </w:tcPr>
          <w:p w14:paraId="5D7E9E67" w14:textId="77777777" w:rsidR="0062043C" w:rsidRPr="0062043C" w:rsidRDefault="0062043C" w:rsidP="006628E4">
            <w:pPr>
              <w:spacing w:after="0"/>
              <w:contextualSpacing/>
              <w:jc w:val="center"/>
              <w:rPr>
                <w:b/>
                <w:bCs/>
                <w:szCs w:val="20"/>
              </w:rPr>
            </w:pPr>
            <w:r w:rsidRPr="0062043C">
              <w:rPr>
                <w:b/>
                <w:bCs/>
                <w:szCs w:val="20"/>
              </w:rPr>
              <w:t>Brigatinib*</w:t>
            </w:r>
          </w:p>
        </w:tc>
      </w:tr>
      <w:tr w:rsidR="0062043C" w:rsidRPr="0062043C" w14:paraId="2B9B23EB" w14:textId="77777777" w:rsidTr="006628E4">
        <w:trPr>
          <w:trHeight w:val="230"/>
        </w:trPr>
        <w:tc>
          <w:tcPr>
            <w:tcW w:w="0" w:type="auto"/>
            <w:shd w:val="clear" w:color="auto" w:fill="auto"/>
            <w:hideMark/>
          </w:tcPr>
          <w:p w14:paraId="7028BBC5" w14:textId="77777777" w:rsidR="0062043C" w:rsidRPr="0062043C" w:rsidRDefault="0062043C" w:rsidP="006628E4">
            <w:pPr>
              <w:spacing w:after="0"/>
              <w:contextualSpacing/>
              <w:jc w:val="center"/>
              <w:rPr>
                <w:szCs w:val="20"/>
              </w:rPr>
            </w:pPr>
            <w:r w:rsidRPr="0062043C">
              <w:rPr>
                <w:szCs w:val="20"/>
              </w:rPr>
              <w:t>BC</w:t>
            </w:r>
          </w:p>
        </w:tc>
        <w:tc>
          <w:tcPr>
            <w:tcW w:w="0" w:type="auto"/>
          </w:tcPr>
          <w:p w14:paraId="65B869C1"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6EBDEE3F" w14:textId="77777777" w:rsidR="0062043C" w:rsidRPr="0062043C" w:rsidRDefault="0062043C" w:rsidP="006628E4">
            <w:pPr>
              <w:spacing w:after="0"/>
              <w:contextualSpacing/>
              <w:jc w:val="center"/>
              <w:rPr>
                <w:szCs w:val="20"/>
              </w:rPr>
            </w:pPr>
            <w:r w:rsidRPr="0062043C">
              <w:rPr>
                <w:szCs w:val="21"/>
              </w:rPr>
              <w:t>†</w:t>
            </w:r>
          </w:p>
        </w:tc>
        <w:tc>
          <w:tcPr>
            <w:tcW w:w="0" w:type="auto"/>
          </w:tcPr>
          <w:p w14:paraId="0769DEA0"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038E5DCC"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07B0FB08" w14:textId="77777777" w:rsidR="0062043C" w:rsidRPr="0062043C" w:rsidRDefault="0062043C" w:rsidP="006628E4">
            <w:pPr>
              <w:spacing w:after="0"/>
              <w:jc w:val="center"/>
              <w:rPr>
                <w:szCs w:val="20"/>
              </w:rPr>
            </w:pPr>
          </w:p>
        </w:tc>
      </w:tr>
      <w:tr w:rsidR="0062043C" w:rsidRPr="0062043C" w14:paraId="33FC8D14" w14:textId="77777777" w:rsidTr="006628E4">
        <w:trPr>
          <w:trHeight w:val="230"/>
        </w:trPr>
        <w:tc>
          <w:tcPr>
            <w:tcW w:w="0" w:type="auto"/>
            <w:shd w:val="clear" w:color="auto" w:fill="auto"/>
            <w:hideMark/>
          </w:tcPr>
          <w:p w14:paraId="79BDC92E" w14:textId="77777777" w:rsidR="0062043C" w:rsidRPr="0062043C" w:rsidRDefault="0062043C" w:rsidP="006628E4">
            <w:pPr>
              <w:spacing w:after="0"/>
              <w:contextualSpacing/>
              <w:jc w:val="center"/>
              <w:rPr>
                <w:szCs w:val="20"/>
              </w:rPr>
            </w:pPr>
            <w:r w:rsidRPr="0062043C">
              <w:rPr>
                <w:szCs w:val="20"/>
              </w:rPr>
              <w:t>AB</w:t>
            </w:r>
          </w:p>
        </w:tc>
        <w:tc>
          <w:tcPr>
            <w:tcW w:w="0" w:type="auto"/>
          </w:tcPr>
          <w:p w14:paraId="00DBEF9D"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1083FDEE" w14:textId="77777777" w:rsidR="0062043C" w:rsidRPr="0062043C" w:rsidRDefault="0062043C" w:rsidP="006628E4">
            <w:pPr>
              <w:spacing w:after="0"/>
              <w:contextualSpacing/>
              <w:jc w:val="center"/>
              <w:rPr>
                <w:szCs w:val="20"/>
              </w:rPr>
            </w:pPr>
            <w:r w:rsidRPr="0062043C">
              <w:rPr>
                <w:szCs w:val="21"/>
              </w:rPr>
              <w:t>†</w:t>
            </w:r>
          </w:p>
        </w:tc>
        <w:tc>
          <w:tcPr>
            <w:tcW w:w="0" w:type="auto"/>
          </w:tcPr>
          <w:p w14:paraId="32B1472A"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5603E1F9"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6E00E921" w14:textId="77777777" w:rsidR="0062043C" w:rsidRPr="0062043C" w:rsidRDefault="0062043C" w:rsidP="006628E4">
            <w:pPr>
              <w:spacing w:after="0"/>
              <w:jc w:val="center"/>
              <w:rPr>
                <w:szCs w:val="20"/>
              </w:rPr>
            </w:pPr>
          </w:p>
        </w:tc>
      </w:tr>
      <w:tr w:rsidR="0062043C" w:rsidRPr="0062043C" w14:paraId="79CE318B" w14:textId="77777777" w:rsidTr="006628E4">
        <w:trPr>
          <w:trHeight w:val="230"/>
        </w:trPr>
        <w:tc>
          <w:tcPr>
            <w:tcW w:w="0" w:type="auto"/>
            <w:shd w:val="clear" w:color="auto" w:fill="auto"/>
            <w:hideMark/>
          </w:tcPr>
          <w:p w14:paraId="7ABCF5EE" w14:textId="77777777" w:rsidR="0062043C" w:rsidRPr="0062043C" w:rsidRDefault="0062043C" w:rsidP="006628E4">
            <w:pPr>
              <w:spacing w:after="0"/>
              <w:contextualSpacing/>
              <w:jc w:val="center"/>
              <w:rPr>
                <w:szCs w:val="20"/>
              </w:rPr>
            </w:pPr>
            <w:r w:rsidRPr="0062043C">
              <w:rPr>
                <w:szCs w:val="20"/>
              </w:rPr>
              <w:t>SK</w:t>
            </w:r>
          </w:p>
        </w:tc>
        <w:tc>
          <w:tcPr>
            <w:tcW w:w="0" w:type="auto"/>
          </w:tcPr>
          <w:p w14:paraId="3E33981B"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5C5F2C55"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4A34A1A1"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602974C7"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3171E796" w14:textId="77777777" w:rsidR="0062043C" w:rsidRPr="0062043C" w:rsidRDefault="0062043C" w:rsidP="006628E4">
            <w:pPr>
              <w:spacing w:after="0"/>
              <w:jc w:val="center"/>
              <w:rPr>
                <w:szCs w:val="20"/>
              </w:rPr>
            </w:pPr>
          </w:p>
        </w:tc>
      </w:tr>
      <w:tr w:rsidR="0062043C" w:rsidRPr="0062043C" w14:paraId="690FADB5" w14:textId="77777777" w:rsidTr="006628E4">
        <w:trPr>
          <w:trHeight w:val="230"/>
        </w:trPr>
        <w:tc>
          <w:tcPr>
            <w:tcW w:w="0" w:type="auto"/>
            <w:shd w:val="clear" w:color="auto" w:fill="auto"/>
            <w:hideMark/>
          </w:tcPr>
          <w:p w14:paraId="764F8958" w14:textId="77777777" w:rsidR="0062043C" w:rsidRPr="0062043C" w:rsidRDefault="0062043C" w:rsidP="006628E4">
            <w:pPr>
              <w:spacing w:after="0"/>
              <w:contextualSpacing/>
              <w:jc w:val="center"/>
              <w:rPr>
                <w:szCs w:val="20"/>
              </w:rPr>
            </w:pPr>
            <w:r w:rsidRPr="0062043C">
              <w:rPr>
                <w:szCs w:val="20"/>
              </w:rPr>
              <w:t>MB</w:t>
            </w:r>
          </w:p>
        </w:tc>
        <w:tc>
          <w:tcPr>
            <w:tcW w:w="0" w:type="auto"/>
          </w:tcPr>
          <w:p w14:paraId="6454EBE1"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28E9FAC5" w14:textId="77777777" w:rsidR="0062043C" w:rsidRPr="0062043C" w:rsidRDefault="0062043C" w:rsidP="006628E4">
            <w:pPr>
              <w:spacing w:after="0"/>
              <w:contextualSpacing/>
              <w:jc w:val="center"/>
              <w:rPr>
                <w:szCs w:val="20"/>
              </w:rPr>
            </w:pPr>
            <w:r w:rsidRPr="0062043C">
              <w:rPr>
                <w:szCs w:val="21"/>
              </w:rPr>
              <w:t>†</w:t>
            </w:r>
          </w:p>
        </w:tc>
        <w:tc>
          <w:tcPr>
            <w:tcW w:w="0" w:type="auto"/>
          </w:tcPr>
          <w:p w14:paraId="33461DDA"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23F3F636"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61392A11" w14:textId="77777777" w:rsidR="0062043C" w:rsidRPr="0062043C" w:rsidRDefault="0062043C" w:rsidP="006628E4">
            <w:pPr>
              <w:spacing w:after="0"/>
              <w:jc w:val="center"/>
              <w:rPr>
                <w:szCs w:val="20"/>
              </w:rPr>
            </w:pPr>
          </w:p>
        </w:tc>
      </w:tr>
      <w:tr w:rsidR="0062043C" w:rsidRPr="0062043C" w14:paraId="3BB987E4" w14:textId="77777777" w:rsidTr="006628E4">
        <w:trPr>
          <w:trHeight w:val="230"/>
        </w:trPr>
        <w:tc>
          <w:tcPr>
            <w:tcW w:w="0" w:type="auto"/>
            <w:shd w:val="clear" w:color="auto" w:fill="auto"/>
            <w:hideMark/>
          </w:tcPr>
          <w:p w14:paraId="1987E94D" w14:textId="77777777" w:rsidR="0062043C" w:rsidRPr="0062043C" w:rsidRDefault="0062043C" w:rsidP="006628E4">
            <w:pPr>
              <w:spacing w:after="0"/>
              <w:contextualSpacing/>
              <w:jc w:val="center"/>
              <w:rPr>
                <w:szCs w:val="20"/>
              </w:rPr>
            </w:pPr>
            <w:r w:rsidRPr="0062043C">
              <w:rPr>
                <w:szCs w:val="20"/>
              </w:rPr>
              <w:t>ON</w:t>
            </w:r>
          </w:p>
        </w:tc>
        <w:tc>
          <w:tcPr>
            <w:tcW w:w="0" w:type="auto"/>
          </w:tcPr>
          <w:p w14:paraId="0E0DDBB5"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44B27317" w14:textId="77777777" w:rsidR="0062043C" w:rsidRPr="0062043C" w:rsidRDefault="0062043C" w:rsidP="006628E4">
            <w:pPr>
              <w:spacing w:after="0"/>
              <w:contextualSpacing/>
              <w:jc w:val="center"/>
              <w:rPr>
                <w:szCs w:val="20"/>
              </w:rPr>
            </w:pPr>
            <w:r w:rsidRPr="0062043C">
              <w:rPr>
                <w:szCs w:val="21"/>
              </w:rPr>
              <w:t>†</w:t>
            </w:r>
          </w:p>
        </w:tc>
        <w:tc>
          <w:tcPr>
            <w:tcW w:w="0" w:type="auto"/>
          </w:tcPr>
          <w:p w14:paraId="0CF60603"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55514D99"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2B1ABC60" w14:textId="77777777" w:rsidR="0062043C" w:rsidRPr="0062043C" w:rsidRDefault="0062043C" w:rsidP="006628E4">
            <w:pPr>
              <w:spacing w:after="0"/>
              <w:jc w:val="center"/>
              <w:rPr>
                <w:szCs w:val="20"/>
              </w:rPr>
            </w:pPr>
          </w:p>
        </w:tc>
      </w:tr>
      <w:tr w:rsidR="0062043C" w:rsidRPr="0062043C" w14:paraId="722C6F43" w14:textId="77777777" w:rsidTr="006628E4">
        <w:trPr>
          <w:trHeight w:val="230"/>
        </w:trPr>
        <w:tc>
          <w:tcPr>
            <w:tcW w:w="0" w:type="auto"/>
            <w:shd w:val="clear" w:color="auto" w:fill="auto"/>
            <w:hideMark/>
          </w:tcPr>
          <w:p w14:paraId="579F0793" w14:textId="77777777" w:rsidR="0062043C" w:rsidRPr="0062043C" w:rsidRDefault="0062043C" w:rsidP="006628E4">
            <w:pPr>
              <w:spacing w:after="0"/>
              <w:contextualSpacing/>
              <w:jc w:val="center"/>
              <w:rPr>
                <w:szCs w:val="20"/>
              </w:rPr>
            </w:pPr>
            <w:r w:rsidRPr="0062043C">
              <w:rPr>
                <w:szCs w:val="20"/>
              </w:rPr>
              <w:t>NB</w:t>
            </w:r>
          </w:p>
        </w:tc>
        <w:tc>
          <w:tcPr>
            <w:tcW w:w="0" w:type="auto"/>
          </w:tcPr>
          <w:p w14:paraId="0AF272C4"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12296CF2" w14:textId="77777777" w:rsidR="0062043C" w:rsidRPr="0062043C" w:rsidRDefault="0062043C" w:rsidP="006628E4">
            <w:pPr>
              <w:spacing w:after="0"/>
              <w:contextualSpacing/>
              <w:jc w:val="center"/>
              <w:rPr>
                <w:szCs w:val="20"/>
              </w:rPr>
            </w:pPr>
            <w:r w:rsidRPr="0062043C">
              <w:rPr>
                <w:szCs w:val="21"/>
              </w:rPr>
              <w:t>†</w:t>
            </w:r>
          </w:p>
        </w:tc>
        <w:tc>
          <w:tcPr>
            <w:tcW w:w="0" w:type="auto"/>
          </w:tcPr>
          <w:p w14:paraId="5A454C0A"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2F830A74"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5134D06B" w14:textId="77777777" w:rsidR="0062043C" w:rsidRPr="0062043C" w:rsidRDefault="0062043C" w:rsidP="006628E4">
            <w:pPr>
              <w:spacing w:after="0"/>
              <w:jc w:val="center"/>
              <w:rPr>
                <w:szCs w:val="20"/>
              </w:rPr>
            </w:pPr>
          </w:p>
        </w:tc>
      </w:tr>
      <w:tr w:rsidR="0062043C" w:rsidRPr="0062043C" w14:paraId="732AADDF" w14:textId="77777777" w:rsidTr="006628E4">
        <w:trPr>
          <w:trHeight w:val="230"/>
        </w:trPr>
        <w:tc>
          <w:tcPr>
            <w:tcW w:w="0" w:type="auto"/>
            <w:shd w:val="clear" w:color="auto" w:fill="auto"/>
            <w:hideMark/>
          </w:tcPr>
          <w:p w14:paraId="2DB547BD" w14:textId="77777777" w:rsidR="0062043C" w:rsidRPr="0062043C" w:rsidRDefault="0062043C" w:rsidP="006628E4">
            <w:pPr>
              <w:spacing w:after="0"/>
              <w:contextualSpacing/>
              <w:jc w:val="center"/>
              <w:rPr>
                <w:szCs w:val="20"/>
              </w:rPr>
            </w:pPr>
            <w:r w:rsidRPr="0062043C">
              <w:rPr>
                <w:szCs w:val="20"/>
              </w:rPr>
              <w:t>NS</w:t>
            </w:r>
          </w:p>
        </w:tc>
        <w:tc>
          <w:tcPr>
            <w:tcW w:w="0" w:type="auto"/>
          </w:tcPr>
          <w:p w14:paraId="1E8DF4CE" w14:textId="77777777" w:rsidR="0062043C" w:rsidRPr="0062043C" w:rsidRDefault="0062043C" w:rsidP="006628E4">
            <w:pPr>
              <w:spacing w:after="0"/>
              <w:contextualSpacing/>
              <w:jc w:val="center"/>
              <w:rPr>
                <w:szCs w:val="20"/>
              </w:rPr>
            </w:pPr>
            <w:r w:rsidRPr="0062043C">
              <w:rPr>
                <w:szCs w:val="21"/>
              </w:rPr>
              <w:t>†</w:t>
            </w:r>
          </w:p>
        </w:tc>
        <w:tc>
          <w:tcPr>
            <w:tcW w:w="0" w:type="auto"/>
          </w:tcPr>
          <w:p w14:paraId="46F53FD4" w14:textId="77777777" w:rsidR="0062043C" w:rsidRPr="0062043C" w:rsidRDefault="0062043C" w:rsidP="006628E4">
            <w:pPr>
              <w:spacing w:after="0"/>
              <w:contextualSpacing/>
              <w:jc w:val="center"/>
              <w:rPr>
                <w:szCs w:val="20"/>
              </w:rPr>
            </w:pPr>
            <w:r w:rsidRPr="0062043C">
              <w:rPr>
                <w:szCs w:val="21"/>
              </w:rPr>
              <w:t>†</w:t>
            </w:r>
          </w:p>
        </w:tc>
        <w:tc>
          <w:tcPr>
            <w:tcW w:w="0" w:type="auto"/>
          </w:tcPr>
          <w:p w14:paraId="499E7C4F"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6013C9CD"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723194E9" w14:textId="77777777" w:rsidR="0062043C" w:rsidRPr="0062043C" w:rsidRDefault="0062043C" w:rsidP="006628E4">
            <w:pPr>
              <w:spacing w:after="0"/>
              <w:jc w:val="center"/>
              <w:rPr>
                <w:szCs w:val="20"/>
              </w:rPr>
            </w:pPr>
          </w:p>
        </w:tc>
      </w:tr>
      <w:tr w:rsidR="0062043C" w:rsidRPr="0062043C" w14:paraId="14A9776D" w14:textId="77777777" w:rsidTr="006628E4">
        <w:trPr>
          <w:trHeight w:val="230"/>
        </w:trPr>
        <w:tc>
          <w:tcPr>
            <w:tcW w:w="0" w:type="auto"/>
            <w:shd w:val="clear" w:color="auto" w:fill="auto"/>
            <w:hideMark/>
          </w:tcPr>
          <w:p w14:paraId="475D2E56" w14:textId="77777777" w:rsidR="0062043C" w:rsidRPr="0062043C" w:rsidRDefault="0062043C" w:rsidP="006628E4">
            <w:pPr>
              <w:spacing w:after="0"/>
              <w:contextualSpacing/>
              <w:jc w:val="center"/>
              <w:rPr>
                <w:szCs w:val="20"/>
              </w:rPr>
            </w:pPr>
            <w:r w:rsidRPr="0062043C">
              <w:rPr>
                <w:szCs w:val="20"/>
              </w:rPr>
              <w:t>NL</w:t>
            </w:r>
          </w:p>
        </w:tc>
        <w:tc>
          <w:tcPr>
            <w:tcW w:w="0" w:type="auto"/>
          </w:tcPr>
          <w:p w14:paraId="5CC7697D" w14:textId="77777777" w:rsidR="0062043C" w:rsidRPr="0062043C" w:rsidRDefault="0062043C" w:rsidP="006628E4">
            <w:pPr>
              <w:spacing w:after="0"/>
              <w:contextualSpacing/>
              <w:jc w:val="center"/>
              <w:rPr>
                <w:szCs w:val="20"/>
              </w:rPr>
            </w:pPr>
            <w:r w:rsidRPr="0062043C">
              <w:rPr>
                <w:szCs w:val="21"/>
              </w:rPr>
              <w:t>†</w:t>
            </w:r>
          </w:p>
        </w:tc>
        <w:tc>
          <w:tcPr>
            <w:tcW w:w="0" w:type="auto"/>
          </w:tcPr>
          <w:p w14:paraId="6926CEDA" w14:textId="77777777" w:rsidR="0062043C" w:rsidRPr="0062043C" w:rsidRDefault="0062043C" w:rsidP="006628E4">
            <w:pPr>
              <w:spacing w:after="0"/>
              <w:contextualSpacing/>
              <w:jc w:val="center"/>
              <w:rPr>
                <w:szCs w:val="20"/>
              </w:rPr>
            </w:pPr>
            <w:r w:rsidRPr="0062043C">
              <w:rPr>
                <w:szCs w:val="21"/>
              </w:rPr>
              <w:t>†</w:t>
            </w:r>
          </w:p>
        </w:tc>
        <w:tc>
          <w:tcPr>
            <w:tcW w:w="0" w:type="auto"/>
          </w:tcPr>
          <w:p w14:paraId="10DA775C"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2821C90F"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332B069D" w14:textId="77777777" w:rsidR="0062043C" w:rsidRPr="0062043C" w:rsidRDefault="0062043C" w:rsidP="006628E4">
            <w:pPr>
              <w:spacing w:after="0"/>
              <w:jc w:val="center"/>
              <w:rPr>
                <w:szCs w:val="20"/>
              </w:rPr>
            </w:pPr>
          </w:p>
        </w:tc>
      </w:tr>
      <w:tr w:rsidR="0062043C" w:rsidRPr="0062043C" w14:paraId="45526CC8" w14:textId="77777777" w:rsidTr="006628E4">
        <w:trPr>
          <w:trHeight w:val="230"/>
        </w:trPr>
        <w:tc>
          <w:tcPr>
            <w:tcW w:w="0" w:type="auto"/>
            <w:shd w:val="clear" w:color="auto" w:fill="auto"/>
            <w:hideMark/>
          </w:tcPr>
          <w:p w14:paraId="44574187" w14:textId="77777777" w:rsidR="0062043C" w:rsidRPr="0062043C" w:rsidRDefault="0062043C" w:rsidP="006628E4">
            <w:pPr>
              <w:spacing w:after="0"/>
              <w:contextualSpacing/>
              <w:jc w:val="center"/>
              <w:rPr>
                <w:szCs w:val="20"/>
              </w:rPr>
            </w:pPr>
            <w:r w:rsidRPr="0062043C">
              <w:rPr>
                <w:szCs w:val="20"/>
              </w:rPr>
              <w:t>PEI</w:t>
            </w:r>
          </w:p>
        </w:tc>
        <w:tc>
          <w:tcPr>
            <w:tcW w:w="0" w:type="auto"/>
          </w:tcPr>
          <w:p w14:paraId="6279A2F8" w14:textId="77777777" w:rsidR="0062043C" w:rsidRPr="0062043C" w:rsidRDefault="0062043C" w:rsidP="006628E4">
            <w:pPr>
              <w:spacing w:after="0"/>
              <w:contextualSpacing/>
              <w:jc w:val="center"/>
              <w:rPr>
                <w:szCs w:val="20"/>
              </w:rPr>
            </w:pPr>
            <w:r w:rsidRPr="0062043C">
              <w:rPr>
                <w:szCs w:val="21"/>
              </w:rPr>
              <w:t>†</w:t>
            </w:r>
          </w:p>
        </w:tc>
        <w:tc>
          <w:tcPr>
            <w:tcW w:w="0" w:type="auto"/>
          </w:tcPr>
          <w:p w14:paraId="6F6DF682" w14:textId="77777777" w:rsidR="0062043C" w:rsidRPr="0062043C" w:rsidRDefault="0062043C" w:rsidP="006628E4">
            <w:pPr>
              <w:spacing w:after="0"/>
              <w:contextualSpacing/>
              <w:jc w:val="center"/>
              <w:rPr>
                <w:szCs w:val="20"/>
              </w:rPr>
            </w:pPr>
            <w:r w:rsidRPr="0062043C">
              <w:rPr>
                <w:szCs w:val="21"/>
              </w:rPr>
              <w:t>†</w:t>
            </w:r>
          </w:p>
        </w:tc>
        <w:tc>
          <w:tcPr>
            <w:tcW w:w="0" w:type="auto"/>
          </w:tcPr>
          <w:p w14:paraId="6896C113" w14:textId="77777777" w:rsidR="0062043C" w:rsidRPr="0062043C" w:rsidRDefault="0062043C" w:rsidP="006628E4">
            <w:pPr>
              <w:spacing w:after="0"/>
              <w:contextualSpacing/>
              <w:jc w:val="center"/>
              <w:rPr>
                <w:szCs w:val="20"/>
              </w:rPr>
            </w:pPr>
            <w:r w:rsidRPr="0062043C">
              <w:rPr>
                <w:szCs w:val="21"/>
              </w:rPr>
              <w:sym w:font="Wingdings 2" w:char="F050"/>
            </w:r>
          </w:p>
        </w:tc>
        <w:tc>
          <w:tcPr>
            <w:tcW w:w="0" w:type="auto"/>
          </w:tcPr>
          <w:p w14:paraId="7A79ECCF" w14:textId="77777777" w:rsidR="0062043C" w:rsidRPr="0062043C" w:rsidRDefault="0062043C" w:rsidP="006628E4">
            <w:pPr>
              <w:spacing w:after="0"/>
              <w:contextualSpacing/>
              <w:jc w:val="center"/>
              <w:rPr>
                <w:szCs w:val="20"/>
              </w:rPr>
            </w:pPr>
            <w:r w:rsidRPr="0062043C">
              <w:rPr>
                <w:szCs w:val="21"/>
              </w:rPr>
              <w:t>†</w:t>
            </w:r>
          </w:p>
        </w:tc>
        <w:tc>
          <w:tcPr>
            <w:tcW w:w="0" w:type="auto"/>
          </w:tcPr>
          <w:p w14:paraId="327ECB85" w14:textId="77777777" w:rsidR="0062043C" w:rsidRPr="0062043C" w:rsidRDefault="0062043C" w:rsidP="006628E4">
            <w:pPr>
              <w:spacing w:after="0"/>
              <w:jc w:val="center"/>
              <w:rPr>
                <w:szCs w:val="20"/>
              </w:rPr>
            </w:pPr>
          </w:p>
        </w:tc>
      </w:tr>
    </w:tbl>
    <w:p w14:paraId="062408BB" w14:textId="77777777" w:rsidR="0062043C" w:rsidRPr="0069254B" w:rsidRDefault="0062043C" w:rsidP="0062043C">
      <w:pPr>
        <w:rPr>
          <w:sz w:val="18"/>
          <w:szCs w:val="18"/>
        </w:rPr>
      </w:pPr>
      <w:r w:rsidRPr="00E45753">
        <w:t xml:space="preserve">Legend: </w:t>
      </w:r>
      <w:r w:rsidRPr="00E45753">
        <w:rPr>
          <w:sz w:val="18"/>
          <w:szCs w:val="18"/>
        </w:rPr>
        <w:sym w:font="Wingdings 2" w:char="F050"/>
      </w:r>
      <w:r w:rsidRPr="00E45753">
        <w:rPr>
          <w:sz w:val="18"/>
          <w:szCs w:val="18"/>
        </w:rPr>
        <w:t xml:space="preserve"> Funded, </w:t>
      </w:r>
      <w:r w:rsidRPr="00E45753">
        <w:rPr>
          <w:sz w:val="18"/>
          <w:szCs w:val="18"/>
        </w:rPr>
        <w:sym w:font="Wingdings" w:char="F0FB"/>
      </w:r>
      <w:r w:rsidRPr="00E45753">
        <w:rPr>
          <w:sz w:val="18"/>
          <w:szCs w:val="18"/>
        </w:rPr>
        <w:t xml:space="preserve"> Not funded, † Funding decision pending</w:t>
      </w:r>
      <w:r>
        <w:rPr>
          <w:sz w:val="18"/>
          <w:szCs w:val="18"/>
        </w:rPr>
        <w:t>; * Under review at pCODR</w:t>
      </w:r>
    </w:p>
    <w:p w14:paraId="19FA7D88" w14:textId="77777777"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F42A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12E7B">
                            <w:rPr>
                              <w:rFonts w:ascii="Arial" w:hAnsi="Arial" w:cs="Arial"/>
                              <w:noProof/>
                              <w:sz w:val="14"/>
                              <w:szCs w:val="14"/>
                            </w:rPr>
                            <w:t>5</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12E7B">
                      <w:rPr>
                        <w:rFonts w:ascii="Arial" w:hAnsi="Arial" w:cs="Arial"/>
                        <w:noProof/>
                        <w:sz w:val="14"/>
                        <w:szCs w:val="14"/>
                      </w:rPr>
                      <w:t>5</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8ECA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12E7B">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12E7B">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0FE044B6"/>
    <w:multiLevelType w:val="hybridMultilevel"/>
    <w:tmpl w:val="4EE89B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1F2877C7"/>
    <w:multiLevelType w:val="hybridMultilevel"/>
    <w:tmpl w:val="30B4CA8A"/>
    <w:lvl w:ilvl="0" w:tplc="1009000F">
      <w:start w:val="1"/>
      <w:numFmt w:val="decimal"/>
      <w:lvlText w:val="%1."/>
      <w:lvlJc w:val="left"/>
      <w:pPr>
        <w:ind w:left="360" w:hanging="360"/>
      </w:pPr>
      <w:rPr>
        <w:rFonts w:hint="default"/>
      </w:rPr>
    </w:lvl>
    <w:lvl w:ilvl="1" w:tplc="10090019">
      <w:start w:val="1"/>
      <w:numFmt w:val="lowerLetter"/>
      <w:lvlText w:val="%2."/>
      <w:lvlJc w:val="left"/>
      <w:pPr>
        <w:ind w:left="786"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6"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7" w15:restartNumberingAfterBreak="0">
    <w:nsid w:val="3B555AB9"/>
    <w:multiLevelType w:val="hybridMultilevel"/>
    <w:tmpl w:val="B9441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6347AC"/>
    <w:multiLevelType w:val="hybridMultilevel"/>
    <w:tmpl w:val="CC2427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45CA209C"/>
    <w:multiLevelType w:val="hybridMultilevel"/>
    <w:tmpl w:val="7C182F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8"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40"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1"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4"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8FF479D"/>
    <w:multiLevelType w:val="hybridMultilevel"/>
    <w:tmpl w:val="2550F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7"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8"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9"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51"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44"/>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7"/>
  </w:num>
  <w:num w:numId="15">
    <w:abstractNumId w:val="46"/>
  </w:num>
  <w:num w:numId="16">
    <w:abstractNumId w:val="29"/>
  </w:num>
  <w:num w:numId="17">
    <w:abstractNumId w:val="35"/>
  </w:num>
  <w:num w:numId="18">
    <w:abstractNumId w:val="51"/>
  </w:num>
  <w:num w:numId="19">
    <w:abstractNumId w:val="33"/>
  </w:num>
  <w:num w:numId="20">
    <w:abstractNumId w:val="11"/>
  </w:num>
  <w:num w:numId="21">
    <w:abstractNumId w:val="9"/>
  </w:num>
  <w:num w:numId="22">
    <w:abstractNumId w:val="32"/>
  </w:num>
  <w:num w:numId="23">
    <w:abstractNumId w:val="49"/>
  </w:num>
  <w:num w:numId="24">
    <w:abstractNumId w:val="15"/>
  </w:num>
  <w:num w:numId="25">
    <w:abstractNumId w:val="28"/>
  </w:num>
  <w:num w:numId="26">
    <w:abstractNumId w:val="40"/>
  </w:num>
  <w:num w:numId="27">
    <w:abstractNumId w:val="21"/>
  </w:num>
  <w:num w:numId="28">
    <w:abstractNumId w:val="26"/>
  </w:num>
  <w:num w:numId="29">
    <w:abstractNumId w:val="17"/>
  </w:num>
  <w:num w:numId="30">
    <w:abstractNumId w:val="47"/>
  </w:num>
  <w:num w:numId="31">
    <w:abstractNumId w:val="42"/>
  </w:num>
  <w:num w:numId="32">
    <w:abstractNumId w:val="50"/>
    <w:lvlOverride w:ilvl="0">
      <w:startOverride w:val="1"/>
    </w:lvlOverride>
  </w:num>
  <w:num w:numId="33">
    <w:abstractNumId w:val="39"/>
    <w:lvlOverride w:ilvl="0">
      <w:startOverride w:val="1"/>
    </w:lvlOverride>
  </w:num>
  <w:num w:numId="34">
    <w:abstractNumId w:val="41"/>
  </w:num>
  <w:num w:numId="35">
    <w:abstractNumId w:val="25"/>
  </w:num>
  <w:num w:numId="36">
    <w:abstractNumId w:val="24"/>
  </w:num>
  <w:num w:numId="37">
    <w:abstractNumId w:val="23"/>
  </w:num>
  <w:num w:numId="38">
    <w:abstractNumId w:val="12"/>
  </w:num>
  <w:num w:numId="39">
    <w:abstractNumId w:val="48"/>
  </w:num>
  <w:num w:numId="40">
    <w:abstractNumId w:val="16"/>
  </w:num>
  <w:num w:numId="41">
    <w:abstractNumId w:val="43"/>
  </w:num>
  <w:num w:numId="42">
    <w:abstractNumId w:val="19"/>
  </w:num>
  <w:num w:numId="43">
    <w:abstractNumId w:val="38"/>
  </w:num>
  <w:num w:numId="44">
    <w:abstractNumId w:val="45"/>
  </w:num>
  <w:num w:numId="45">
    <w:abstractNumId w:val="22"/>
  </w:num>
  <w:num w:numId="46">
    <w:abstractNumId w:val="13"/>
  </w:num>
  <w:num w:numId="47">
    <w:abstractNumId w:val="36"/>
  </w:num>
  <w:num w:numId="48">
    <w:abstractNumId w:val="27"/>
  </w:num>
  <w:num w:numId="49">
    <w:abstractNumId w:val="31"/>
  </w:num>
  <w:num w:numId="50">
    <w:abstractNumId w:val="20"/>
  </w:num>
  <w:num w:numId="51">
    <w:abstractNumId w:val="30"/>
  </w:num>
  <w:num w:numId="52">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0CCD"/>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2E7B"/>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0997"/>
    <w:rsid w:val="001960EF"/>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3375D"/>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B5290"/>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252A"/>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362F"/>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2043C"/>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0E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2AFE"/>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2EF7"/>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59AA"/>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B7EB1"/>
    <w:rsid w:val="00AC2C8E"/>
    <w:rsid w:val="00AD08FE"/>
    <w:rsid w:val="00AD3E90"/>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169B"/>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BC3"/>
    <w:rsid w:val="00DB3F3D"/>
    <w:rsid w:val="00DB558C"/>
    <w:rsid w:val="00DB7BD5"/>
    <w:rsid w:val="00DB7BE6"/>
    <w:rsid w:val="00DC1346"/>
    <w:rsid w:val="00DC1E09"/>
    <w:rsid w:val="00DC6E49"/>
    <w:rsid w:val="00DC6F2C"/>
    <w:rsid w:val="00DC7B0F"/>
    <w:rsid w:val="00DD23F9"/>
    <w:rsid w:val="00DE2C8A"/>
    <w:rsid w:val="00DE3023"/>
    <w:rsid w:val="00DE414F"/>
    <w:rsid w:val="00DE452C"/>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29989">
      <w:bodyDiv w:val="1"/>
      <w:marLeft w:val="0"/>
      <w:marRight w:val="0"/>
      <w:marTop w:val="0"/>
      <w:marBottom w:val="0"/>
      <w:divBdr>
        <w:top w:val="none" w:sz="0" w:space="0" w:color="auto"/>
        <w:left w:val="none" w:sz="0" w:space="0" w:color="auto"/>
        <w:bottom w:val="none" w:sz="0" w:space="0" w:color="auto"/>
        <w:right w:val="none" w:sz="0" w:space="0" w:color="auto"/>
      </w:divBdr>
    </w:div>
    <w:div w:id="337195733">
      <w:bodyDiv w:val="1"/>
      <w:marLeft w:val="0"/>
      <w:marRight w:val="0"/>
      <w:marTop w:val="0"/>
      <w:marBottom w:val="0"/>
      <w:divBdr>
        <w:top w:val="none" w:sz="0" w:space="0" w:color="auto"/>
        <w:left w:val="none" w:sz="0" w:space="0" w:color="auto"/>
        <w:bottom w:val="none" w:sz="0" w:space="0" w:color="auto"/>
        <w:right w:val="none" w:sz="0" w:space="0" w:color="auto"/>
      </w:divBdr>
      <w:divsChild>
        <w:div w:id="1091394132">
          <w:marLeft w:val="0"/>
          <w:marRight w:val="0"/>
          <w:marTop w:val="0"/>
          <w:marBottom w:val="0"/>
          <w:divBdr>
            <w:top w:val="none" w:sz="0" w:space="0" w:color="auto"/>
            <w:left w:val="none" w:sz="0" w:space="0" w:color="auto"/>
            <w:bottom w:val="none" w:sz="0" w:space="0" w:color="auto"/>
            <w:right w:val="none" w:sz="0" w:space="0" w:color="auto"/>
          </w:divBdr>
        </w:div>
        <w:div w:id="1880239825">
          <w:marLeft w:val="0"/>
          <w:marRight w:val="0"/>
          <w:marTop w:val="0"/>
          <w:marBottom w:val="0"/>
          <w:divBdr>
            <w:top w:val="none" w:sz="0" w:space="0" w:color="auto"/>
            <w:left w:val="none" w:sz="0" w:space="0" w:color="auto"/>
            <w:bottom w:val="none" w:sz="0" w:space="0" w:color="auto"/>
            <w:right w:val="none" w:sz="0" w:space="0" w:color="auto"/>
          </w:divBdr>
        </w:div>
      </w:divsChild>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753432682">
      <w:bodyDiv w:val="1"/>
      <w:marLeft w:val="0"/>
      <w:marRight w:val="0"/>
      <w:marTop w:val="0"/>
      <w:marBottom w:val="0"/>
      <w:divBdr>
        <w:top w:val="none" w:sz="0" w:space="0" w:color="auto"/>
        <w:left w:val="none" w:sz="0" w:space="0" w:color="auto"/>
        <w:bottom w:val="none" w:sz="0" w:space="0" w:color="auto"/>
        <w:right w:val="none" w:sz="0" w:space="0" w:color="auto"/>
      </w:divBdr>
      <w:divsChild>
        <w:div w:id="1203051695">
          <w:marLeft w:val="0"/>
          <w:marRight w:val="0"/>
          <w:marTop w:val="0"/>
          <w:marBottom w:val="0"/>
          <w:divBdr>
            <w:top w:val="none" w:sz="0" w:space="0" w:color="auto"/>
            <w:left w:val="none" w:sz="0" w:space="0" w:color="auto"/>
            <w:bottom w:val="none" w:sz="0" w:space="0" w:color="auto"/>
            <w:right w:val="none" w:sz="0" w:space="0" w:color="auto"/>
          </w:divBdr>
        </w:div>
        <w:div w:id="78721816">
          <w:marLeft w:val="0"/>
          <w:marRight w:val="0"/>
          <w:marTop w:val="0"/>
          <w:marBottom w:val="0"/>
          <w:divBdr>
            <w:top w:val="none" w:sz="0" w:space="0" w:color="auto"/>
            <w:left w:val="none" w:sz="0" w:space="0" w:color="auto"/>
            <w:bottom w:val="none" w:sz="0" w:space="0" w:color="auto"/>
            <w:right w:val="none" w:sz="0" w:space="0" w:color="auto"/>
          </w:divBdr>
        </w:div>
      </w:divsChild>
    </w:div>
    <w:div w:id="986282185">
      <w:bodyDiv w:val="1"/>
      <w:marLeft w:val="0"/>
      <w:marRight w:val="0"/>
      <w:marTop w:val="0"/>
      <w:marBottom w:val="0"/>
      <w:divBdr>
        <w:top w:val="none" w:sz="0" w:space="0" w:color="auto"/>
        <w:left w:val="none" w:sz="0" w:space="0" w:color="auto"/>
        <w:bottom w:val="none" w:sz="0" w:space="0" w:color="auto"/>
        <w:right w:val="none" w:sz="0" w:space="0" w:color="auto"/>
      </w:divBdr>
      <w:divsChild>
        <w:div w:id="744575029">
          <w:marLeft w:val="0"/>
          <w:marRight w:val="0"/>
          <w:marTop w:val="0"/>
          <w:marBottom w:val="0"/>
          <w:divBdr>
            <w:top w:val="none" w:sz="0" w:space="0" w:color="auto"/>
            <w:left w:val="none" w:sz="0" w:space="0" w:color="auto"/>
            <w:bottom w:val="none" w:sz="0" w:space="0" w:color="auto"/>
            <w:right w:val="none" w:sz="0" w:space="0" w:color="auto"/>
          </w:divBdr>
        </w:div>
        <w:div w:id="584916532">
          <w:marLeft w:val="0"/>
          <w:marRight w:val="0"/>
          <w:marTop w:val="0"/>
          <w:marBottom w:val="0"/>
          <w:divBdr>
            <w:top w:val="none" w:sz="0" w:space="0" w:color="auto"/>
            <w:left w:val="none" w:sz="0" w:space="0" w:color="auto"/>
            <w:bottom w:val="none" w:sz="0" w:space="0" w:color="auto"/>
            <w:right w:val="none" w:sz="0" w:space="0" w:color="auto"/>
          </w:divBdr>
        </w:div>
      </w:divsChild>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513571222">
      <w:bodyDiv w:val="1"/>
      <w:marLeft w:val="0"/>
      <w:marRight w:val="0"/>
      <w:marTop w:val="0"/>
      <w:marBottom w:val="0"/>
      <w:divBdr>
        <w:top w:val="none" w:sz="0" w:space="0" w:color="auto"/>
        <w:left w:val="none" w:sz="0" w:space="0" w:color="auto"/>
        <w:bottom w:val="none" w:sz="0" w:space="0" w:color="auto"/>
        <w:right w:val="none" w:sz="0" w:space="0" w:color="auto"/>
      </w:divBdr>
    </w:div>
    <w:div w:id="1924029745">
      <w:bodyDiv w:val="1"/>
      <w:marLeft w:val="0"/>
      <w:marRight w:val="0"/>
      <w:marTop w:val="0"/>
      <w:marBottom w:val="0"/>
      <w:divBdr>
        <w:top w:val="none" w:sz="0" w:space="0" w:color="auto"/>
        <w:left w:val="none" w:sz="0" w:space="0" w:color="auto"/>
        <w:bottom w:val="none" w:sz="0" w:space="0" w:color="auto"/>
        <w:right w:val="none" w:sz="0" w:space="0" w:color="auto"/>
      </w:divBdr>
    </w:div>
    <w:div w:id="1935437699">
      <w:bodyDiv w:val="1"/>
      <w:marLeft w:val="0"/>
      <w:marRight w:val="0"/>
      <w:marTop w:val="0"/>
      <w:marBottom w:val="0"/>
      <w:divBdr>
        <w:top w:val="none" w:sz="0" w:space="0" w:color="auto"/>
        <w:left w:val="none" w:sz="0" w:space="0" w:color="auto"/>
        <w:bottom w:val="none" w:sz="0" w:space="0" w:color="auto"/>
        <w:right w:val="none" w:sz="0" w:space="0" w:color="auto"/>
      </w:divBdr>
    </w:div>
    <w:div w:id="1976521973">
      <w:bodyDiv w:val="1"/>
      <w:marLeft w:val="0"/>
      <w:marRight w:val="0"/>
      <w:marTop w:val="0"/>
      <w:marBottom w:val="0"/>
      <w:divBdr>
        <w:top w:val="none" w:sz="0" w:space="0" w:color="auto"/>
        <w:left w:val="none" w:sz="0" w:space="0" w:color="auto"/>
        <w:bottom w:val="none" w:sz="0" w:space="0" w:color="auto"/>
        <w:right w:val="none" w:sz="0" w:space="0" w:color="auto"/>
      </w:divBdr>
    </w:div>
    <w:div w:id="2078164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nice.org.uk/guidance/indevelopment/gid-ta103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fda.gov/Drugs/InformationOnDrugs/ApprovedDrugs/ucm625027.htm"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pdf.hres.ca/dpd_pm/00049751.PDF" TargetMode="External"/><Relationship Id="rId20" Type="http://schemas.openxmlformats.org/officeDocument/2006/relationships/hyperlink" Target="https://www.esmo.org/Guidelines/Lung-and-Chest-Tumours/Metastatic-Non-Small-Cell-Lung-Can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iencedirect.com/science/article/pii/S1470204518306491?via%3Dihub" TargetMode="External"/><Relationship Id="rId10" Type="http://schemas.openxmlformats.org/officeDocument/2006/relationships/header" Target="header1.xml"/><Relationship Id="rId19" Type="http://schemas.openxmlformats.org/officeDocument/2006/relationships/hyperlink" Target="https://www.nccn.org/professionals/physician_gls/pdf/nscl.pdf"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197086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2134-0D13-4D9B-B7BC-AA77F999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2019-05-03T20:41:00Z</dcterms:modified>
</cp:coreProperties>
</file>