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w:t>
      </w:r>
      <w:proofErr w:type="spellStart"/>
      <w:r w:rsidRPr="00EB0EEF">
        <w:rPr>
          <w:rFonts w:ascii="Arial" w:hAnsi="Arial" w:cs="Arial"/>
          <w:i/>
          <w:sz w:val="18"/>
          <w:szCs w:val="18"/>
        </w:rPr>
        <w:t>pCODR</w:t>
      </w:r>
      <w:proofErr w:type="spellEnd"/>
      <w:r w:rsidRPr="00EB0EEF">
        <w:rPr>
          <w:rFonts w:ascii="Arial" w:hAnsi="Arial" w:cs="Arial"/>
          <w:i/>
          <w:sz w:val="18"/>
          <w:szCs w:val="18"/>
        </w:rPr>
        <w:t xml:space="preserve">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CADTH </w:t>
            </w:r>
            <w:proofErr w:type="spellStart"/>
            <w:r w:rsidRPr="00EB0EEF">
              <w:rPr>
                <w:color w:val="FFFFFF" w:themeColor="background1"/>
                <w:sz w:val="18"/>
                <w:szCs w:val="20"/>
              </w:rPr>
              <w:t>pCODR</w:t>
            </w:r>
            <w:proofErr w:type="spellEnd"/>
            <w:r w:rsidRPr="00EB0EEF">
              <w:rPr>
                <w:color w:val="FFFFFF" w:themeColor="background1"/>
                <w:sz w:val="18"/>
                <w:szCs w:val="20"/>
              </w:rPr>
              <w:t xml:space="preserve">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3E0796DF" w:rsidR="00121EB1" w:rsidRPr="00EB0EEF" w:rsidRDefault="00190997" w:rsidP="002B6FE5">
            <w:pPr>
              <w:pStyle w:val="DocumentTitle"/>
              <w:tabs>
                <w:tab w:val="left" w:pos="1074"/>
              </w:tabs>
              <w:spacing w:before="0" w:after="0"/>
              <w:rPr>
                <w:sz w:val="18"/>
                <w:szCs w:val="20"/>
              </w:rPr>
            </w:pPr>
            <w:proofErr w:type="spellStart"/>
            <w:r>
              <w:rPr>
                <w:sz w:val="18"/>
                <w:szCs w:val="20"/>
              </w:rPr>
              <w:t>pCODR</w:t>
            </w:r>
            <w:proofErr w:type="spellEnd"/>
            <w:r>
              <w:rPr>
                <w:sz w:val="18"/>
                <w:szCs w:val="20"/>
              </w:rPr>
              <w:t xml:space="preserve"> 101</w:t>
            </w:r>
            <w:r w:rsidR="002B6FE5">
              <w:rPr>
                <w:sz w:val="18"/>
                <w:szCs w:val="20"/>
              </w:rPr>
              <w:t>89</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654331A1" w:rsidR="00F369F8" w:rsidRPr="00EB0EEF" w:rsidRDefault="00190997" w:rsidP="00EB0EEF">
            <w:pPr>
              <w:pStyle w:val="DocumentTitle"/>
              <w:tabs>
                <w:tab w:val="left" w:pos="1074"/>
              </w:tabs>
              <w:spacing w:before="0" w:after="0"/>
              <w:rPr>
                <w:sz w:val="18"/>
                <w:szCs w:val="20"/>
              </w:rPr>
            </w:pPr>
            <w:r>
              <w:rPr>
                <w:sz w:val="18"/>
                <w:szCs w:val="20"/>
              </w:rPr>
              <w:t>Daratumumab (</w:t>
            </w:r>
            <w:proofErr w:type="spellStart"/>
            <w:r>
              <w:rPr>
                <w:sz w:val="18"/>
                <w:szCs w:val="20"/>
              </w:rPr>
              <w:t>Darzalex</w:t>
            </w:r>
            <w:proofErr w:type="spellEnd"/>
            <w:r>
              <w:rPr>
                <w:sz w:val="18"/>
                <w:szCs w:val="20"/>
              </w:rPr>
              <w:t>)</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7126852F" w:rsidR="00190997" w:rsidRPr="00190997" w:rsidRDefault="00190997" w:rsidP="00190997">
            <w:pPr>
              <w:rPr>
                <w:rFonts w:ascii="Arial" w:eastAsia="Calibri" w:hAnsi="Arial" w:cs="Arial"/>
                <w:b/>
                <w:sz w:val="18"/>
              </w:rPr>
            </w:pPr>
            <w:r>
              <w:rPr>
                <w:rFonts w:ascii="Arial" w:eastAsia="Calibri" w:hAnsi="Arial" w:cs="Arial"/>
                <w:b/>
                <w:sz w:val="18"/>
              </w:rPr>
              <w:t>Multiple Myeloma</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09887E5F" w14:textId="27BA1690" w:rsidR="00F369F8" w:rsidRPr="00EB0EEF" w:rsidRDefault="002B6FE5" w:rsidP="002B6FE5">
            <w:pPr>
              <w:pStyle w:val="DocumentTitle"/>
              <w:tabs>
                <w:tab w:val="left" w:pos="1074"/>
              </w:tabs>
              <w:spacing w:before="0" w:after="0"/>
              <w:rPr>
                <w:sz w:val="18"/>
                <w:szCs w:val="20"/>
              </w:rPr>
            </w:pPr>
            <w:r>
              <w:rPr>
                <w:sz w:val="18"/>
                <w:szCs w:val="20"/>
              </w:rPr>
              <w:t>I</w:t>
            </w:r>
            <w:r w:rsidRPr="002B6FE5">
              <w:rPr>
                <w:sz w:val="18"/>
                <w:szCs w:val="20"/>
              </w:rPr>
              <w:t>n combination with lenalidomide and dexamethasone for the treatment of patients with newly diagnosed multiple myeloma who are ineligible for autologous stem cell transplant.</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w:t>
            </w:r>
            <w:proofErr w:type="spellStart"/>
            <w:r w:rsidRPr="00EB0EEF">
              <w:rPr>
                <w:color w:val="FFFFFF" w:themeColor="background1"/>
                <w:sz w:val="18"/>
                <w:szCs w:val="20"/>
              </w:rPr>
              <w:t>pCODR</w:t>
            </w:r>
            <w:r w:rsidR="00865015"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485BC93A" w14:textId="183BFCA0" w:rsidR="002B6FE5" w:rsidRPr="002B6FE5" w:rsidRDefault="002B6FE5" w:rsidP="00190997">
            <w:pPr>
              <w:pStyle w:val="DocumentTitle"/>
              <w:numPr>
                <w:ilvl w:val="0"/>
                <w:numId w:val="44"/>
              </w:numPr>
              <w:tabs>
                <w:tab w:val="left" w:pos="1074"/>
              </w:tabs>
              <w:spacing w:before="0" w:after="0"/>
              <w:rPr>
                <w:sz w:val="18"/>
                <w:szCs w:val="18"/>
              </w:rPr>
            </w:pPr>
            <w:r w:rsidRPr="002B6FE5">
              <w:rPr>
                <w:color w:val="000000"/>
                <w:sz w:val="18"/>
                <w:szCs w:val="18"/>
                <w:shd w:val="clear" w:color="auto" w:fill="FFFFFF"/>
              </w:rPr>
              <w:t>MAIA/MMY-3008 (</w:t>
            </w:r>
            <w:hyperlink r:id="rId14" w:tgtFrame="_blank" w:history="1">
              <w:r w:rsidRPr="002B6FE5">
                <w:rPr>
                  <w:rStyle w:val="Hyperlink"/>
                  <w:sz w:val="18"/>
                  <w:szCs w:val="18"/>
                  <w:bdr w:val="none" w:sz="0" w:space="0" w:color="auto" w:frame="1"/>
                  <w:shd w:val="clear" w:color="auto" w:fill="FFFFFF"/>
                </w:rPr>
                <w:t>NCT02252172</w:t>
              </w:r>
            </w:hyperlink>
            <w:r>
              <w:rPr>
                <w:color w:val="000000"/>
                <w:sz w:val="18"/>
                <w:szCs w:val="18"/>
                <w:shd w:val="clear" w:color="auto" w:fill="FFFFFF"/>
              </w:rPr>
              <w:t>)</w:t>
            </w:r>
          </w:p>
          <w:p w14:paraId="52AF8FBD" w14:textId="3361CDD4" w:rsidR="00CC380E" w:rsidRPr="002B6FE5" w:rsidRDefault="00657B8E" w:rsidP="002B6FE5">
            <w:pPr>
              <w:pStyle w:val="DocumentTitle"/>
              <w:numPr>
                <w:ilvl w:val="0"/>
                <w:numId w:val="44"/>
              </w:numPr>
              <w:tabs>
                <w:tab w:val="left" w:pos="1074"/>
              </w:tabs>
              <w:spacing w:before="0" w:after="0"/>
              <w:rPr>
                <w:sz w:val="18"/>
                <w:szCs w:val="18"/>
              </w:rPr>
            </w:pPr>
            <w:hyperlink r:id="rId15" w:tgtFrame="_blank" w:history="1">
              <w:proofErr w:type="spellStart"/>
              <w:r w:rsidR="002B6FE5" w:rsidRPr="002B6FE5">
                <w:rPr>
                  <w:rStyle w:val="Hyperlink"/>
                  <w:sz w:val="18"/>
                  <w:szCs w:val="18"/>
                  <w:bdr w:val="none" w:sz="0" w:space="0" w:color="auto" w:frame="1"/>
                  <w:shd w:val="clear" w:color="auto" w:fill="FFFFFF"/>
                </w:rPr>
                <w:t>Facon</w:t>
              </w:r>
              <w:proofErr w:type="spellEnd"/>
              <w:r w:rsidR="002B6FE5" w:rsidRPr="002B6FE5">
                <w:rPr>
                  <w:rStyle w:val="Hyperlink"/>
                  <w:sz w:val="18"/>
                  <w:szCs w:val="18"/>
                  <w:bdr w:val="none" w:sz="0" w:space="0" w:color="auto" w:frame="1"/>
                  <w:shd w:val="clear" w:color="auto" w:fill="FFFFFF"/>
                </w:rPr>
                <w:t xml:space="preserve"> et al, Blood 2018</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1711CAC1"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547CC765" w14:textId="1910FCAE" w:rsidR="00275E1C" w:rsidRPr="00190997" w:rsidRDefault="00040CCD" w:rsidP="00040CCD">
            <w:pPr>
              <w:pStyle w:val="DocumentTitle"/>
              <w:tabs>
                <w:tab w:val="left" w:pos="1074"/>
              </w:tabs>
              <w:spacing w:before="0" w:after="0"/>
              <w:rPr>
                <w:sz w:val="18"/>
                <w:szCs w:val="20"/>
              </w:rPr>
            </w:pPr>
            <w:r>
              <w:rPr>
                <w:sz w:val="18"/>
                <w:szCs w:val="20"/>
              </w:rPr>
              <w:t>Pending</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0F696763" w:rsidR="00F369F8" w:rsidRPr="002B6FE5" w:rsidRDefault="00716B05" w:rsidP="00EB0EEF">
            <w:pPr>
              <w:pStyle w:val="DocumentTitle"/>
              <w:tabs>
                <w:tab w:val="left" w:pos="1074"/>
              </w:tabs>
              <w:spacing w:before="0" w:after="0"/>
              <w:rPr>
                <w:color w:val="FFFFFF" w:themeColor="background1"/>
                <w:sz w:val="18"/>
                <w:szCs w:val="20"/>
              </w:rPr>
            </w:pPr>
            <w:r w:rsidRPr="002B6FE5">
              <w:rPr>
                <w:color w:val="FFFFFF" w:themeColor="background1"/>
                <w:sz w:val="18"/>
                <w:szCs w:val="20"/>
              </w:rPr>
              <w:t>FDA</w:t>
            </w:r>
          </w:p>
        </w:tc>
        <w:tc>
          <w:tcPr>
            <w:tcW w:w="3035" w:type="pct"/>
            <w:shd w:val="clear" w:color="auto" w:fill="auto"/>
            <w:tcMar>
              <w:top w:w="29" w:type="dxa"/>
              <w:left w:w="115" w:type="dxa"/>
              <w:bottom w:w="29" w:type="dxa"/>
              <w:right w:w="115" w:type="dxa"/>
            </w:tcMar>
          </w:tcPr>
          <w:p w14:paraId="2EE07483" w14:textId="028F9B66" w:rsidR="00275E1C" w:rsidRPr="002B6FE5" w:rsidRDefault="00275E1C" w:rsidP="00040CCD">
            <w:pPr>
              <w:pStyle w:val="DocumentTitle"/>
              <w:tabs>
                <w:tab w:val="left" w:pos="1074"/>
              </w:tabs>
              <w:spacing w:after="0"/>
              <w:rPr>
                <w:sz w:val="18"/>
                <w:szCs w:val="20"/>
                <w:highlight w:val="yellow"/>
              </w:rPr>
            </w:pPr>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1B707749" w:rsidR="00F369F8" w:rsidRPr="002B6FE5" w:rsidRDefault="00275E1C" w:rsidP="00EB0EEF">
            <w:pPr>
              <w:pStyle w:val="DocumentTitle"/>
              <w:tabs>
                <w:tab w:val="left" w:pos="1074"/>
              </w:tabs>
              <w:spacing w:before="0" w:after="0"/>
              <w:rPr>
                <w:color w:val="FFFFFF" w:themeColor="background1"/>
                <w:sz w:val="18"/>
                <w:szCs w:val="20"/>
              </w:rPr>
            </w:pPr>
            <w:r w:rsidRPr="002B6FE5">
              <w:rPr>
                <w:color w:val="FFFFFF" w:themeColor="background1"/>
                <w:sz w:val="18"/>
                <w:szCs w:val="20"/>
              </w:rPr>
              <w:t>E</w:t>
            </w:r>
            <w:r w:rsidR="00647D2C" w:rsidRPr="002B6FE5">
              <w:rPr>
                <w:color w:val="FFFFFF" w:themeColor="background1"/>
                <w:sz w:val="18"/>
                <w:szCs w:val="20"/>
              </w:rPr>
              <w:t xml:space="preserve">uropean </w:t>
            </w:r>
            <w:r w:rsidRPr="002B6FE5">
              <w:rPr>
                <w:color w:val="FFFFFF" w:themeColor="background1"/>
                <w:sz w:val="18"/>
                <w:szCs w:val="20"/>
              </w:rPr>
              <w:t>M</w:t>
            </w:r>
            <w:r w:rsidR="00647D2C" w:rsidRPr="002B6FE5">
              <w:rPr>
                <w:color w:val="FFFFFF" w:themeColor="background1"/>
                <w:sz w:val="18"/>
                <w:szCs w:val="20"/>
              </w:rPr>
              <w:t xml:space="preserve">edicines </w:t>
            </w:r>
            <w:r w:rsidRPr="002B6FE5">
              <w:rPr>
                <w:color w:val="FFFFFF" w:themeColor="background1"/>
                <w:sz w:val="18"/>
                <w:szCs w:val="20"/>
              </w:rPr>
              <w:t>A</w:t>
            </w:r>
            <w:r w:rsidR="00647D2C" w:rsidRPr="002B6FE5">
              <w:rPr>
                <w:color w:val="FFFFFF" w:themeColor="background1"/>
                <w:sz w:val="18"/>
                <w:szCs w:val="20"/>
              </w:rPr>
              <w:t>gency</w:t>
            </w:r>
            <w:r w:rsidRPr="002B6FE5">
              <w:rPr>
                <w:color w:val="FFFFFF" w:themeColor="background1"/>
                <w:sz w:val="18"/>
                <w:szCs w:val="20"/>
              </w:rPr>
              <w:t xml:space="preserve"> </w:t>
            </w:r>
            <w:r w:rsidR="00716B05" w:rsidRPr="002B6FE5">
              <w:rPr>
                <w:color w:val="FFFFFF" w:themeColor="background1"/>
                <w:sz w:val="18"/>
                <w:szCs w:val="20"/>
              </w:rPr>
              <w:t>S</w:t>
            </w:r>
            <w:r w:rsidRPr="002B6FE5">
              <w:rPr>
                <w:color w:val="FFFFFF" w:themeColor="background1"/>
                <w:sz w:val="18"/>
                <w:szCs w:val="20"/>
              </w:rPr>
              <w:t>tatus</w:t>
            </w:r>
          </w:p>
        </w:tc>
        <w:tc>
          <w:tcPr>
            <w:tcW w:w="3035" w:type="pct"/>
            <w:shd w:val="clear" w:color="auto" w:fill="auto"/>
            <w:tcMar>
              <w:top w:w="29" w:type="dxa"/>
              <w:left w:w="115" w:type="dxa"/>
              <w:bottom w:w="29" w:type="dxa"/>
              <w:right w:w="115" w:type="dxa"/>
            </w:tcMar>
          </w:tcPr>
          <w:p w14:paraId="4382D7E4" w14:textId="01F1DEF4" w:rsidR="00F369F8" w:rsidRPr="002B6FE5" w:rsidRDefault="00F369F8" w:rsidP="00EB0EEF">
            <w:pPr>
              <w:pStyle w:val="DocumentTitle"/>
              <w:tabs>
                <w:tab w:val="left" w:pos="1074"/>
              </w:tabs>
              <w:spacing w:before="0" w:after="0"/>
              <w:rPr>
                <w:sz w:val="18"/>
                <w:szCs w:val="20"/>
                <w:highlight w:val="yellow"/>
              </w:rPr>
            </w:pPr>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7FB5E4C6" w:rsidR="003100FC" w:rsidRPr="00EB0EEF" w:rsidRDefault="003100F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Practice </w:t>
            </w:r>
            <w:proofErr w:type="spellStart"/>
            <w:r w:rsidRPr="00EB0EEF">
              <w:rPr>
                <w:color w:val="FFFFFF" w:themeColor="background1"/>
                <w:sz w:val="18"/>
                <w:szCs w:val="20"/>
              </w:rPr>
              <w:t>Guidelines</w:t>
            </w:r>
            <w:r w:rsidR="00D47251" w:rsidRPr="00EB0EEF">
              <w:rPr>
                <w:color w:val="FFFFFF" w:themeColor="background1"/>
                <w:sz w:val="18"/>
                <w:szCs w:val="20"/>
                <w:vertAlign w:val="superscript"/>
              </w:rPr>
              <w:t>a</w:t>
            </w:r>
            <w:proofErr w:type="spellEnd"/>
          </w:p>
        </w:tc>
        <w:tc>
          <w:tcPr>
            <w:tcW w:w="3035" w:type="pct"/>
            <w:shd w:val="clear" w:color="auto" w:fill="auto"/>
            <w:tcMar>
              <w:top w:w="29" w:type="dxa"/>
              <w:left w:w="115" w:type="dxa"/>
              <w:bottom w:w="29" w:type="dxa"/>
              <w:right w:w="115" w:type="dxa"/>
            </w:tcMar>
          </w:tcPr>
          <w:p w14:paraId="66AF2534" w14:textId="352A6B99" w:rsidR="009A59AA" w:rsidRDefault="00657B8E" w:rsidP="009A59AA">
            <w:pPr>
              <w:pStyle w:val="DocumentTitle"/>
              <w:numPr>
                <w:ilvl w:val="0"/>
                <w:numId w:val="49"/>
              </w:numPr>
              <w:tabs>
                <w:tab w:val="left" w:pos="1074"/>
              </w:tabs>
              <w:spacing w:before="0" w:after="0"/>
              <w:rPr>
                <w:sz w:val="18"/>
                <w:szCs w:val="20"/>
              </w:rPr>
            </w:pPr>
            <w:hyperlink r:id="rId16" w:history="1">
              <w:r w:rsidR="009A59AA">
                <w:rPr>
                  <w:rStyle w:val="Hyperlink"/>
                  <w:sz w:val="18"/>
                  <w:szCs w:val="20"/>
                </w:rPr>
                <w:t>NCCN myeloma guidelines.</w:t>
              </w:r>
            </w:hyperlink>
          </w:p>
          <w:p w14:paraId="69664700" w14:textId="77777777" w:rsidR="009A59AA" w:rsidRDefault="009A59AA" w:rsidP="009A59AA">
            <w:pPr>
              <w:pStyle w:val="DocumentTitle"/>
              <w:numPr>
                <w:ilvl w:val="0"/>
                <w:numId w:val="49"/>
              </w:numPr>
              <w:tabs>
                <w:tab w:val="left" w:pos="1074"/>
              </w:tabs>
              <w:spacing w:before="0" w:after="0"/>
              <w:rPr>
                <w:sz w:val="18"/>
                <w:szCs w:val="20"/>
              </w:rPr>
            </w:pPr>
            <w:r w:rsidRPr="009A59AA">
              <w:rPr>
                <w:sz w:val="18"/>
                <w:szCs w:val="20"/>
              </w:rPr>
              <w:t>Role of Bone-Modifying Agents in Multiple Myeloma: American Society of Clinical Oncology Clinical Practice Guideline Update</w:t>
            </w:r>
            <w:r>
              <w:rPr>
                <w:sz w:val="18"/>
                <w:szCs w:val="20"/>
              </w:rPr>
              <w:t xml:space="preserve">. </w:t>
            </w:r>
            <w:hyperlink r:id="rId17" w:history="1">
              <w:r w:rsidRPr="009A59AA">
                <w:rPr>
                  <w:rStyle w:val="Hyperlink"/>
                  <w:sz w:val="18"/>
                  <w:szCs w:val="20"/>
                </w:rPr>
                <w:t>Journal of Clinical Oncology 36, no. 8 (March 2018) 812-818.</w:t>
              </w:r>
            </w:hyperlink>
          </w:p>
          <w:p w14:paraId="17E99E46" w14:textId="3145A993" w:rsidR="00420EEA" w:rsidRPr="009A59AA" w:rsidRDefault="009A59AA" w:rsidP="009A59AA">
            <w:pPr>
              <w:pStyle w:val="DocumentTitle"/>
              <w:numPr>
                <w:ilvl w:val="0"/>
                <w:numId w:val="49"/>
              </w:numPr>
              <w:tabs>
                <w:tab w:val="left" w:pos="1074"/>
              </w:tabs>
              <w:spacing w:before="0" w:after="0"/>
              <w:rPr>
                <w:sz w:val="18"/>
                <w:szCs w:val="20"/>
              </w:rPr>
            </w:pPr>
            <w:r w:rsidRPr="009A59AA">
              <w:rPr>
                <w:sz w:val="18"/>
                <w:szCs w:val="20"/>
              </w:rPr>
              <w:t>Multiple Myeloma: ESMO Clinical Practice Guidelines</w:t>
            </w:r>
            <w:r>
              <w:rPr>
                <w:sz w:val="18"/>
                <w:szCs w:val="20"/>
              </w:rPr>
              <w:t xml:space="preserve">. </w:t>
            </w:r>
            <w:hyperlink r:id="rId18" w:history="1">
              <w:r w:rsidRPr="009A59AA">
                <w:rPr>
                  <w:rStyle w:val="Hyperlink"/>
                  <w:sz w:val="18"/>
                  <w:szCs w:val="20"/>
                </w:rPr>
                <w:t>Ann Oncol (2017) 28 (suppl 4): iv52–iv61.</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72CF8946" w14:textId="668C81C3" w:rsidR="002B6FE5" w:rsidRPr="005677EF" w:rsidRDefault="002B6FE5" w:rsidP="009A59AA">
            <w:pPr>
              <w:pStyle w:val="DocumentTitle"/>
              <w:tabs>
                <w:tab w:val="left" w:pos="1074"/>
              </w:tabs>
              <w:spacing w:after="0"/>
              <w:rPr>
                <w:sz w:val="18"/>
                <w:szCs w:val="20"/>
              </w:rPr>
            </w:pPr>
            <w:r w:rsidRPr="005677EF">
              <w:rPr>
                <w:sz w:val="18"/>
                <w:szCs w:val="20"/>
              </w:rPr>
              <w:t>Bortezomib/melphalan/prednisone (VMP), bortezomib/</w:t>
            </w:r>
            <w:r w:rsidR="00657B8E" w:rsidRPr="005677EF">
              <w:rPr>
                <w:sz w:val="18"/>
                <w:szCs w:val="20"/>
              </w:rPr>
              <w:t xml:space="preserve"> </w:t>
            </w:r>
            <w:r w:rsidR="00657B8E" w:rsidRPr="005677EF">
              <w:rPr>
                <w:sz w:val="18"/>
                <w:szCs w:val="20"/>
              </w:rPr>
              <w:t>cyclophosphamide/</w:t>
            </w:r>
            <w:r w:rsidRPr="005677EF">
              <w:rPr>
                <w:sz w:val="18"/>
                <w:szCs w:val="20"/>
              </w:rPr>
              <w:t>dexamethasone (</w:t>
            </w:r>
            <w:proofErr w:type="spellStart"/>
            <w:r w:rsidR="00657B8E">
              <w:rPr>
                <w:sz w:val="18"/>
                <w:szCs w:val="20"/>
              </w:rPr>
              <w:t>VCd</w:t>
            </w:r>
            <w:r w:rsidRPr="005677EF">
              <w:rPr>
                <w:sz w:val="18"/>
                <w:szCs w:val="20"/>
              </w:rPr>
              <w:t xml:space="preserve">), </w:t>
            </w:r>
            <w:proofErr w:type="spellEnd"/>
            <w:r w:rsidRPr="005677EF">
              <w:rPr>
                <w:sz w:val="18"/>
                <w:szCs w:val="20"/>
              </w:rPr>
              <w:t>and lenalidomide/dexamethasone (Rd) are funded in almost all the provinces for patients with newly diagnosed multiple myeloma who are not suitable for autologous stem cell transplant. Lenalidomide/bortezomib/dexamethasone (</w:t>
            </w:r>
            <w:proofErr w:type="spellStart"/>
            <w:r w:rsidRPr="005677EF">
              <w:rPr>
                <w:sz w:val="18"/>
                <w:szCs w:val="20"/>
              </w:rPr>
              <w:t>VRd</w:t>
            </w:r>
            <w:proofErr w:type="spellEnd"/>
            <w:r w:rsidRPr="005677EF">
              <w:rPr>
                <w:sz w:val="18"/>
                <w:szCs w:val="20"/>
              </w:rPr>
              <w:t xml:space="preserve">) was recently reviewed at </w:t>
            </w:r>
            <w:proofErr w:type="spellStart"/>
            <w:r w:rsidRPr="005677EF">
              <w:rPr>
                <w:sz w:val="18"/>
                <w:szCs w:val="20"/>
              </w:rPr>
              <w:t>pCODR</w:t>
            </w:r>
            <w:proofErr w:type="spellEnd"/>
            <w:r w:rsidRPr="005677EF">
              <w:rPr>
                <w:sz w:val="18"/>
                <w:szCs w:val="20"/>
              </w:rPr>
              <w:t xml:space="preserve"> and received a positive </w:t>
            </w:r>
            <w:r w:rsidR="00FC1044" w:rsidRPr="005677EF">
              <w:rPr>
                <w:sz w:val="18"/>
                <w:szCs w:val="20"/>
              </w:rPr>
              <w:t xml:space="preserve">conditional </w:t>
            </w:r>
            <w:r w:rsidRPr="005677EF">
              <w:rPr>
                <w:sz w:val="18"/>
                <w:szCs w:val="20"/>
              </w:rPr>
              <w:t>reimbursement recommendation.</w:t>
            </w:r>
          </w:p>
          <w:p w14:paraId="09ECBE82" w14:textId="34CC9130" w:rsidR="002B6FE5" w:rsidRPr="005677EF" w:rsidRDefault="002B6FE5" w:rsidP="009A59AA">
            <w:pPr>
              <w:pStyle w:val="DocumentTitle"/>
              <w:tabs>
                <w:tab w:val="left" w:pos="1074"/>
              </w:tabs>
              <w:spacing w:after="0"/>
              <w:rPr>
                <w:sz w:val="18"/>
                <w:szCs w:val="20"/>
              </w:rPr>
            </w:pPr>
            <w:r w:rsidRPr="005677EF">
              <w:rPr>
                <w:sz w:val="18"/>
                <w:szCs w:val="20"/>
              </w:rPr>
              <w:t xml:space="preserve">Rd and </w:t>
            </w:r>
            <w:proofErr w:type="spellStart"/>
            <w:r w:rsidR="00657B8E">
              <w:rPr>
                <w:sz w:val="18"/>
                <w:szCs w:val="20"/>
              </w:rPr>
              <w:t>VCd</w:t>
            </w:r>
            <w:proofErr w:type="spellEnd"/>
            <w:r w:rsidRPr="005677EF">
              <w:rPr>
                <w:sz w:val="18"/>
                <w:szCs w:val="20"/>
              </w:rPr>
              <w:t xml:space="preserve"> are current treatments of choice for patients with newly diagnosed multiple myeloma that are transplant ineligible.</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657B8E"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 xml:space="preserve">cientific published references are not required, as </w:t>
      </w:r>
      <w:proofErr w:type="spellStart"/>
      <w:r w:rsidR="00DC6E49" w:rsidRPr="00EB0EEF">
        <w:rPr>
          <w:rFonts w:ascii="Arial" w:hAnsi="Arial" w:cs="Arial"/>
          <w:sz w:val="18"/>
        </w:rPr>
        <w:t>pCODR</w:t>
      </w:r>
      <w:proofErr w:type="spellEnd"/>
      <w:r w:rsidR="00DC6E49" w:rsidRPr="00EB0EEF">
        <w:rPr>
          <w:rFonts w:ascii="Arial" w:hAnsi="Arial" w:cs="Arial"/>
          <w:sz w:val="18"/>
        </w:rPr>
        <w:t xml:space="preserve">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2B6FE5">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Default="00642187" w:rsidP="002B6FE5">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proofErr w:type="gramStart"/>
      <w:r w:rsidR="00557689" w:rsidRPr="00EB0EEF">
        <w:rPr>
          <w:rFonts w:ascii="Arial" w:hAnsi="Arial" w:cs="Arial"/>
          <w:sz w:val="18"/>
        </w:rPr>
        <w:t>in the event that</w:t>
      </w:r>
      <w:proofErr w:type="gramEnd"/>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p w14:paraId="55ACAB7F" w14:textId="04C1EB36" w:rsidR="002B6FE5" w:rsidRPr="005677EF" w:rsidRDefault="002B6FE5" w:rsidP="002B6FE5">
      <w:pPr>
        <w:pStyle w:val="pCODR11Bullet1stLevel"/>
        <w:numPr>
          <w:ilvl w:val="0"/>
          <w:numId w:val="42"/>
        </w:numPr>
        <w:spacing w:after="60" w:line="276" w:lineRule="auto"/>
        <w:ind w:left="1260" w:right="864" w:hanging="187"/>
        <w:rPr>
          <w:rFonts w:ascii="Arial" w:hAnsi="Arial" w:cs="Arial"/>
          <w:b/>
          <w:sz w:val="18"/>
        </w:rPr>
      </w:pPr>
      <w:r w:rsidRPr="005677EF">
        <w:rPr>
          <w:rFonts w:ascii="Arial" w:hAnsi="Arial" w:cs="Arial"/>
          <w:b/>
          <w:sz w:val="18"/>
        </w:rPr>
        <w:t>IMPLEMENTATION QUESTIONS:</w:t>
      </w:r>
    </w:p>
    <w:p w14:paraId="3A4683E2" w14:textId="55B1AA69" w:rsidR="002B6FE5" w:rsidRPr="005677EF" w:rsidRDefault="002B6FE5" w:rsidP="002B6FE5">
      <w:pPr>
        <w:pStyle w:val="ListParagraph"/>
        <w:numPr>
          <w:ilvl w:val="1"/>
          <w:numId w:val="42"/>
        </w:numPr>
        <w:spacing w:line="276" w:lineRule="auto"/>
        <w:rPr>
          <w:rFonts w:ascii="Arial" w:eastAsia="Times New Roman" w:hAnsi="Arial" w:cs="Arial"/>
          <w:color w:val="000000"/>
          <w:sz w:val="18"/>
          <w:szCs w:val="21"/>
        </w:rPr>
      </w:pPr>
      <w:r w:rsidRPr="005677EF">
        <w:rPr>
          <w:rFonts w:ascii="Arial" w:eastAsia="Times New Roman" w:hAnsi="Arial" w:cs="Arial"/>
          <w:color w:val="000000"/>
          <w:sz w:val="18"/>
          <w:szCs w:val="21"/>
        </w:rPr>
        <w:t xml:space="preserve">Please consider the optimal sequencing of subsequent second- and third-line therapies following treatment with </w:t>
      </w:r>
      <w:proofErr w:type="spellStart"/>
      <w:r w:rsidRPr="005677EF">
        <w:rPr>
          <w:rFonts w:ascii="Arial" w:eastAsia="Times New Roman" w:hAnsi="Arial" w:cs="Arial"/>
          <w:color w:val="000000"/>
          <w:sz w:val="18"/>
          <w:szCs w:val="21"/>
        </w:rPr>
        <w:t>DRd</w:t>
      </w:r>
      <w:proofErr w:type="spellEnd"/>
      <w:r w:rsidRPr="005677EF">
        <w:rPr>
          <w:rFonts w:ascii="Arial" w:eastAsia="Times New Roman" w:hAnsi="Arial" w:cs="Arial"/>
          <w:color w:val="000000"/>
          <w:sz w:val="18"/>
          <w:szCs w:val="21"/>
        </w:rPr>
        <w:t xml:space="preserve">, specifically: carfilzomib-based regimens (e.g., </w:t>
      </w:r>
      <w:proofErr w:type="spellStart"/>
      <w:r w:rsidRPr="005677EF">
        <w:rPr>
          <w:rFonts w:ascii="Arial" w:eastAsia="Times New Roman" w:hAnsi="Arial" w:cs="Arial"/>
          <w:color w:val="000000"/>
          <w:sz w:val="18"/>
          <w:szCs w:val="21"/>
        </w:rPr>
        <w:t>KRd</w:t>
      </w:r>
      <w:proofErr w:type="spellEnd"/>
      <w:r w:rsidRPr="005677EF">
        <w:rPr>
          <w:rFonts w:ascii="Arial" w:eastAsia="Times New Roman" w:hAnsi="Arial" w:cs="Arial"/>
          <w:color w:val="000000"/>
          <w:sz w:val="18"/>
          <w:szCs w:val="21"/>
        </w:rPr>
        <w:t>), bortezomib-based regimens, pomalidomide, and re-treatment with daratumumab-based/lenalidomide-based regimens.</w:t>
      </w:r>
    </w:p>
    <w:p w14:paraId="4722753B" w14:textId="35FB9B3E" w:rsidR="002B6FE5" w:rsidRPr="005677EF" w:rsidRDefault="002B6FE5" w:rsidP="002B6FE5">
      <w:pPr>
        <w:pStyle w:val="ListParagraph"/>
        <w:numPr>
          <w:ilvl w:val="1"/>
          <w:numId w:val="42"/>
        </w:numPr>
        <w:spacing w:line="276" w:lineRule="auto"/>
        <w:rPr>
          <w:rFonts w:ascii="Arial" w:eastAsia="Times New Roman" w:hAnsi="Arial" w:cs="Arial"/>
          <w:color w:val="000000"/>
          <w:sz w:val="18"/>
          <w:szCs w:val="21"/>
        </w:rPr>
      </w:pPr>
      <w:r w:rsidRPr="005677EF">
        <w:rPr>
          <w:rFonts w:ascii="Arial" w:eastAsia="Times New Roman" w:hAnsi="Arial" w:cs="Arial"/>
          <w:color w:val="000000"/>
          <w:sz w:val="18"/>
          <w:szCs w:val="21"/>
        </w:rPr>
        <w:t xml:space="preserve">Please also consider the preferred regimen for initial treatment of patients who are ineligible for transplant, and how </w:t>
      </w:r>
      <w:proofErr w:type="spellStart"/>
      <w:r w:rsidRPr="005677EF">
        <w:rPr>
          <w:rFonts w:ascii="Arial" w:eastAsia="Times New Roman" w:hAnsi="Arial" w:cs="Arial"/>
          <w:color w:val="000000"/>
          <w:sz w:val="18"/>
          <w:szCs w:val="21"/>
        </w:rPr>
        <w:t>DRd</w:t>
      </w:r>
      <w:proofErr w:type="spellEnd"/>
      <w:r w:rsidRPr="005677EF">
        <w:rPr>
          <w:rFonts w:ascii="Arial" w:eastAsia="Times New Roman" w:hAnsi="Arial" w:cs="Arial"/>
          <w:color w:val="000000"/>
          <w:sz w:val="18"/>
          <w:szCs w:val="21"/>
        </w:rPr>
        <w:t xml:space="preserve"> compares to other currently available regimens (e.g., Rd, </w:t>
      </w:r>
      <w:proofErr w:type="spellStart"/>
      <w:r w:rsidRPr="005677EF">
        <w:rPr>
          <w:rFonts w:ascii="Arial" w:eastAsia="Times New Roman" w:hAnsi="Arial" w:cs="Arial"/>
          <w:color w:val="000000"/>
          <w:sz w:val="18"/>
          <w:szCs w:val="21"/>
        </w:rPr>
        <w:t>RVd</w:t>
      </w:r>
      <w:proofErr w:type="spellEnd"/>
      <w:r w:rsidRPr="005677EF">
        <w:rPr>
          <w:rFonts w:ascii="Arial" w:eastAsia="Times New Roman" w:hAnsi="Arial" w:cs="Arial"/>
          <w:color w:val="000000"/>
          <w:sz w:val="18"/>
          <w:szCs w:val="21"/>
        </w:rPr>
        <w:t xml:space="preserve">, </w:t>
      </w:r>
      <w:proofErr w:type="spellStart"/>
      <w:r w:rsidR="00657B8E">
        <w:rPr>
          <w:rFonts w:ascii="Arial" w:eastAsia="Times New Roman" w:hAnsi="Arial" w:cs="Arial"/>
          <w:color w:val="000000"/>
          <w:sz w:val="18"/>
          <w:szCs w:val="21"/>
        </w:rPr>
        <w:t>VCd</w:t>
      </w:r>
      <w:proofErr w:type="spellEnd"/>
      <w:r w:rsidRPr="005677EF">
        <w:rPr>
          <w:rFonts w:ascii="Arial" w:eastAsia="Times New Roman" w:hAnsi="Arial" w:cs="Arial"/>
          <w:color w:val="000000"/>
          <w:sz w:val="18"/>
          <w:szCs w:val="21"/>
        </w:rPr>
        <w:t xml:space="preserve">, D-VMP, </w:t>
      </w:r>
      <w:r w:rsidR="00FC1044" w:rsidRPr="005677EF">
        <w:rPr>
          <w:rFonts w:ascii="Arial" w:eastAsia="Times New Roman" w:hAnsi="Arial" w:cs="Arial"/>
          <w:color w:val="000000"/>
          <w:sz w:val="18"/>
          <w:szCs w:val="21"/>
        </w:rPr>
        <w:t xml:space="preserve">or </w:t>
      </w:r>
      <w:r w:rsidRPr="005677EF">
        <w:rPr>
          <w:rFonts w:ascii="Arial" w:eastAsia="Times New Roman" w:hAnsi="Arial" w:cs="Arial"/>
          <w:color w:val="000000"/>
          <w:sz w:val="18"/>
          <w:szCs w:val="21"/>
        </w:rPr>
        <w:t>D-</w:t>
      </w:r>
      <w:proofErr w:type="spellStart"/>
      <w:r w:rsidR="00657B8E">
        <w:rPr>
          <w:rFonts w:ascii="Arial" w:eastAsia="Times New Roman" w:hAnsi="Arial" w:cs="Arial"/>
          <w:color w:val="000000"/>
          <w:sz w:val="18"/>
          <w:szCs w:val="21"/>
        </w:rPr>
        <w:t>VCd</w:t>
      </w:r>
      <w:bookmarkStart w:id="6" w:name="_GoBack"/>
      <w:bookmarkEnd w:id="6"/>
      <w:proofErr w:type="spellEnd"/>
      <w:r w:rsidRPr="005677EF">
        <w:rPr>
          <w:rFonts w:ascii="Arial" w:eastAsia="Times New Roman" w:hAnsi="Arial" w:cs="Arial"/>
          <w:color w:val="000000"/>
          <w:sz w:val="18"/>
          <w:szCs w:val="21"/>
        </w:rPr>
        <w:t>).</w:t>
      </w:r>
    </w:p>
    <w:p w14:paraId="5C3BFF67" w14:textId="65BE0093" w:rsidR="002B6FE5" w:rsidRPr="005677EF" w:rsidRDefault="002B6FE5" w:rsidP="002B6FE5">
      <w:pPr>
        <w:pStyle w:val="ListParagraph"/>
        <w:numPr>
          <w:ilvl w:val="1"/>
          <w:numId w:val="42"/>
        </w:numPr>
        <w:spacing w:line="276" w:lineRule="auto"/>
        <w:rPr>
          <w:rFonts w:ascii="Arial" w:eastAsia="Times New Roman" w:hAnsi="Arial" w:cs="Arial"/>
          <w:color w:val="000000"/>
          <w:sz w:val="18"/>
          <w:szCs w:val="21"/>
        </w:rPr>
      </w:pPr>
      <w:r w:rsidRPr="005677EF">
        <w:rPr>
          <w:rFonts w:ascii="Arial" w:eastAsia="Times New Roman" w:hAnsi="Arial" w:cs="Arial"/>
          <w:color w:val="000000"/>
          <w:sz w:val="18"/>
          <w:szCs w:val="21"/>
        </w:rPr>
        <w:t>In clinical practice, if daratumumab was available, would your preference be to use daratumumab in the first-line setting or reserve daratumumab for downstream treatment for relapsed/refractory myeloma?</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7"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7"/>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 xml:space="preserve">re there specific considerations to a testing algorithm that you think would be important to share with the </w:t>
      </w:r>
      <w:proofErr w:type="spellStart"/>
      <w:r w:rsidR="00CE4147" w:rsidRPr="00EB0EEF">
        <w:rPr>
          <w:rFonts w:ascii="Arial" w:hAnsi="Arial" w:cs="Arial"/>
          <w:sz w:val="18"/>
        </w:rPr>
        <w:t>pCODR</w:t>
      </w:r>
      <w:proofErr w:type="spellEnd"/>
      <w:r w:rsidR="00CE4147" w:rsidRPr="00EB0EEF">
        <w:rPr>
          <w:rFonts w:ascii="Arial" w:hAnsi="Arial" w:cs="Arial"/>
          <w:sz w:val="18"/>
        </w:rPr>
        <w:t xml:space="preserve">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8"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8"/>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Pr="005677EF"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proofErr w:type="gramStart"/>
      <w:r w:rsidR="003B1E52" w:rsidRPr="00EB0EEF">
        <w:rPr>
          <w:rFonts w:ascii="Arial" w:hAnsi="Arial" w:cs="Arial"/>
          <w:sz w:val="18"/>
        </w:rPr>
        <w:t>if and when</w:t>
      </w:r>
      <w:proofErr w:type="gramEnd"/>
      <w:r w:rsidR="003B1E52" w:rsidRPr="00EB0EEF">
        <w:rPr>
          <w:rFonts w:ascii="Arial" w:hAnsi="Arial" w:cs="Arial"/>
          <w:sz w:val="18"/>
        </w:rPr>
        <w:t xml:space="preserve">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 xml:space="preserve">provincial cancer programs make their </w:t>
      </w:r>
      <w:r w:rsidR="006F03F1" w:rsidRPr="005677EF">
        <w:rPr>
          <w:rFonts w:ascii="Arial" w:hAnsi="Arial" w:cs="Arial"/>
          <w:sz w:val="18"/>
        </w:rPr>
        <w:t>final funding decisions.</w:t>
      </w:r>
    </w:p>
    <w:p w14:paraId="179872B8" w14:textId="529AF0D4" w:rsidR="00AB7EB1" w:rsidRPr="005677EF" w:rsidRDefault="00AB7EB1" w:rsidP="00AB7EB1">
      <w:pPr>
        <w:pStyle w:val="pCODR1Body"/>
        <w:spacing w:after="0" w:line="276" w:lineRule="auto"/>
        <w:ind w:left="360"/>
        <w:rPr>
          <w:rFonts w:ascii="Arial" w:hAnsi="Arial" w:cs="Arial"/>
          <w:sz w:val="18"/>
        </w:rPr>
      </w:pPr>
      <w:r w:rsidRPr="005677EF">
        <w:rPr>
          <w:rFonts w:ascii="Arial" w:hAnsi="Arial" w:cs="Arial"/>
          <w:b/>
          <w:sz w:val="18"/>
        </w:rPr>
        <w:t>4.1.</w:t>
      </w:r>
      <w:r w:rsidRPr="005677EF">
        <w:rPr>
          <w:rFonts w:ascii="Arial" w:hAnsi="Arial" w:cs="Arial"/>
          <w:sz w:val="18"/>
        </w:rPr>
        <w:t xml:space="preserve"> </w:t>
      </w:r>
      <w:r w:rsidR="005677EF" w:rsidRPr="005677EF">
        <w:rPr>
          <w:rFonts w:ascii="Arial" w:hAnsi="Arial" w:cs="Arial"/>
          <w:sz w:val="18"/>
        </w:rPr>
        <w:t>There have been recent publications for rapid infusion daratumumab (ninety-minute infusion with 20% dose over 30 minutes followed by 80% dose over 60 minutes). In clinical practice, is there support for adoption of rapid infusion daratumumab?</w:t>
      </w:r>
    </w:p>
    <w:p w14:paraId="7DC8B47E" w14:textId="66047FEE" w:rsidR="005A362F" w:rsidRPr="005677EF" w:rsidRDefault="005A362F" w:rsidP="00AB7EB1">
      <w:pPr>
        <w:pStyle w:val="pCODR1Body"/>
        <w:spacing w:after="0" w:line="276" w:lineRule="auto"/>
        <w:ind w:left="360"/>
        <w:rPr>
          <w:rFonts w:ascii="Arial" w:hAnsi="Arial" w:cs="Arial"/>
          <w:b/>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rsidRPr="005677EF" w14:paraId="6CA0B0C0" w14:textId="77777777" w:rsidTr="00D3252A">
        <w:trPr>
          <w:trHeight w:val="419"/>
        </w:trPr>
        <w:tc>
          <w:tcPr>
            <w:tcW w:w="10292" w:type="dxa"/>
          </w:tcPr>
          <w:p w14:paraId="17C145D5" w14:textId="77777777" w:rsidR="005A362F" w:rsidRPr="005677EF" w:rsidRDefault="005A362F" w:rsidP="005A362F">
            <w:pPr>
              <w:pStyle w:val="pCODR01AppendixHeader"/>
              <w:spacing w:before="0" w:after="0"/>
              <w:rPr>
                <w:rFonts w:ascii="Arial" w:hAnsi="Arial" w:cs="Arial"/>
                <w:spacing w:val="0"/>
              </w:rPr>
            </w:pPr>
          </w:p>
        </w:tc>
      </w:tr>
    </w:tbl>
    <w:p w14:paraId="1A1A6EC6" w14:textId="77777777" w:rsidR="005A362F" w:rsidRPr="005677EF" w:rsidRDefault="005A362F" w:rsidP="005A362F">
      <w:pPr>
        <w:pStyle w:val="pCODR1Body"/>
        <w:spacing w:after="0" w:line="276" w:lineRule="auto"/>
        <w:rPr>
          <w:rFonts w:ascii="Arial" w:hAnsi="Arial" w:cs="Arial"/>
          <w:sz w:val="18"/>
        </w:rPr>
      </w:pPr>
    </w:p>
    <w:p w14:paraId="25273641" w14:textId="6BF86437" w:rsidR="005A362F" w:rsidRDefault="005A362F" w:rsidP="005A362F">
      <w:pPr>
        <w:pStyle w:val="pCODR1Body"/>
        <w:spacing w:after="0" w:line="276" w:lineRule="auto"/>
        <w:ind w:left="360"/>
        <w:rPr>
          <w:rFonts w:ascii="Arial" w:hAnsi="Arial" w:cs="Arial"/>
          <w:sz w:val="18"/>
        </w:rPr>
      </w:pPr>
      <w:r w:rsidRPr="005677EF">
        <w:rPr>
          <w:rFonts w:ascii="Arial" w:hAnsi="Arial" w:cs="Arial"/>
          <w:b/>
          <w:sz w:val="18"/>
        </w:rPr>
        <w:t>4.</w:t>
      </w:r>
      <w:r w:rsidR="002B6FE5" w:rsidRPr="005677EF">
        <w:rPr>
          <w:rFonts w:ascii="Arial" w:hAnsi="Arial" w:cs="Arial"/>
          <w:b/>
          <w:sz w:val="18"/>
        </w:rPr>
        <w:t>2</w:t>
      </w:r>
      <w:r w:rsidRPr="005677EF">
        <w:rPr>
          <w:rFonts w:ascii="Arial" w:hAnsi="Arial" w:cs="Arial"/>
          <w:b/>
          <w:sz w:val="18"/>
        </w:rPr>
        <w:t>.</w:t>
      </w:r>
      <w:r w:rsidRPr="005677EF">
        <w:rPr>
          <w:rFonts w:ascii="Arial" w:hAnsi="Arial" w:cs="Arial"/>
          <w:sz w:val="18"/>
        </w:rPr>
        <w:tab/>
      </w:r>
      <w:r w:rsidR="002B6FE5" w:rsidRPr="005677EF">
        <w:rPr>
          <w:rFonts w:ascii="Arial" w:hAnsi="Arial" w:cs="Arial"/>
          <w:sz w:val="18"/>
        </w:rPr>
        <w:t xml:space="preserve">In clinical practice, would clinicians add cyclophosphamide to </w:t>
      </w:r>
      <w:proofErr w:type="spellStart"/>
      <w:r w:rsidR="002B6FE5" w:rsidRPr="005677EF">
        <w:rPr>
          <w:rFonts w:ascii="Arial" w:hAnsi="Arial" w:cs="Arial"/>
          <w:sz w:val="18"/>
        </w:rPr>
        <w:t>DRd</w:t>
      </w:r>
      <w:proofErr w:type="spellEnd"/>
      <w:r w:rsidR="002B6FE5" w:rsidRPr="005677EF">
        <w:rPr>
          <w:rFonts w:ascii="Arial" w:hAnsi="Arial" w:cs="Arial"/>
          <w:sz w:val="18"/>
        </w:rPr>
        <w:t xml:space="preserve"> upon biochemical progression?</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14:paraId="311D4616" w14:textId="77777777" w:rsidTr="00D3252A">
        <w:trPr>
          <w:trHeight w:val="419"/>
        </w:trPr>
        <w:tc>
          <w:tcPr>
            <w:tcW w:w="10292" w:type="dxa"/>
          </w:tcPr>
          <w:p w14:paraId="6C5918E7" w14:textId="77777777" w:rsidR="005A362F" w:rsidRDefault="005A362F" w:rsidP="005A362F">
            <w:pPr>
              <w:pStyle w:val="pCODR01AppendixHeader"/>
              <w:spacing w:before="0" w:after="0"/>
              <w:rPr>
                <w:rFonts w:ascii="Arial" w:hAnsi="Arial" w:cs="Arial"/>
                <w:spacing w:val="0"/>
              </w:rPr>
            </w:pPr>
          </w:p>
        </w:tc>
      </w:tr>
    </w:tbl>
    <w:p w14:paraId="340DF157" w14:textId="77777777" w:rsidR="005A362F" w:rsidRDefault="005A362F" w:rsidP="005A362F">
      <w:pPr>
        <w:pStyle w:val="pCODR1Body"/>
        <w:spacing w:after="0" w:line="276" w:lineRule="auto"/>
        <w:rPr>
          <w:rFonts w:ascii="Arial" w:hAnsi="Arial" w:cs="Arial"/>
          <w:sz w:val="18"/>
        </w:rPr>
      </w:pPr>
    </w:p>
    <w:p w14:paraId="531080B4" w14:textId="595ECEE9" w:rsidR="005A362F" w:rsidRDefault="005A362F" w:rsidP="005A362F">
      <w:pPr>
        <w:pStyle w:val="pCODR1Body"/>
        <w:spacing w:after="0" w:line="276" w:lineRule="auto"/>
        <w:ind w:left="360"/>
        <w:rPr>
          <w:rFonts w:ascii="Arial" w:hAnsi="Arial" w:cs="Arial"/>
          <w:sz w:val="18"/>
        </w:rPr>
      </w:pPr>
      <w:r w:rsidRPr="005677EF">
        <w:rPr>
          <w:rFonts w:ascii="Arial" w:hAnsi="Arial" w:cs="Arial"/>
          <w:b/>
          <w:sz w:val="18"/>
        </w:rPr>
        <w:t>4.</w:t>
      </w:r>
      <w:r w:rsidR="002B6FE5" w:rsidRPr="005677EF">
        <w:rPr>
          <w:rFonts w:ascii="Arial" w:hAnsi="Arial" w:cs="Arial"/>
          <w:b/>
          <w:sz w:val="18"/>
        </w:rPr>
        <w:t>3</w:t>
      </w:r>
      <w:r w:rsidRPr="005677EF">
        <w:rPr>
          <w:rFonts w:ascii="Arial" w:hAnsi="Arial" w:cs="Arial"/>
          <w:b/>
          <w:sz w:val="18"/>
        </w:rPr>
        <w:t xml:space="preserve">. </w:t>
      </w:r>
      <w:r w:rsidR="002B6FE5" w:rsidRPr="005677EF">
        <w:rPr>
          <w:rFonts w:ascii="Arial" w:hAnsi="Arial" w:cs="Arial"/>
          <w:sz w:val="18"/>
        </w:rPr>
        <w:t xml:space="preserve">Is there evidence to inform whether patients could have a treatment break from daratumumab after a maximum response is achieved, then </w:t>
      </w:r>
      <w:proofErr w:type="gramStart"/>
      <w:r w:rsidR="002B6FE5" w:rsidRPr="005677EF">
        <w:rPr>
          <w:rFonts w:ascii="Arial" w:hAnsi="Arial" w:cs="Arial"/>
          <w:sz w:val="18"/>
        </w:rPr>
        <w:t>continue on</w:t>
      </w:r>
      <w:proofErr w:type="gramEnd"/>
      <w:r w:rsidR="002B6FE5" w:rsidRPr="005677EF">
        <w:rPr>
          <w:rFonts w:ascii="Arial" w:hAnsi="Arial" w:cs="Arial"/>
          <w:sz w:val="18"/>
        </w:rPr>
        <w:t xml:space="preserve"> Rd Maintenance, and re-initiate daratumumab at the time of disease progression on Rd?</w:t>
      </w:r>
      <w:r w:rsidR="002B6FE5" w:rsidRPr="002B6FE5">
        <w:rPr>
          <w:rFonts w:ascii="Arial" w:hAnsi="Arial" w:cs="Arial"/>
          <w:sz w:val="18"/>
        </w:rPr>
        <w:t xml:space="preserve">  </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14:paraId="49FA5D18" w14:textId="77777777" w:rsidTr="00D3252A">
        <w:trPr>
          <w:trHeight w:val="419"/>
        </w:trPr>
        <w:tc>
          <w:tcPr>
            <w:tcW w:w="10292" w:type="dxa"/>
          </w:tcPr>
          <w:p w14:paraId="3B265E3F" w14:textId="77777777" w:rsidR="005A362F" w:rsidRDefault="005A362F" w:rsidP="005A362F">
            <w:pPr>
              <w:pStyle w:val="pCODR01AppendixHeader"/>
              <w:spacing w:before="0" w:after="0"/>
              <w:rPr>
                <w:rFonts w:ascii="Arial" w:hAnsi="Arial" w:cs="Arial"/>
                <w:spacing w:val="0"/>
              </w:rPr>
            </w:pPr>
          </w:p>
        </w:tc>
      </w:tr>
    </w:tbl>
    <w:p w14:paraId="37480FF9" w14:textId="77777777" w:rsidR="00D8302B" w:rsidRPr="00EB0EEF" w:rsidRDefault="00D8302B">
      <w:pPr>
        <w:rPr>
          <w:rFonts w:ascii="Arial" w:eastAsia="Times New Roman" w:hAnsi="Arial" w:cs="Arial"/>
          <w:b/>
          <w:kern w:val="28"/>
          <w:sz w:val="28"/>
        </w:rPr>
      </w:pPr>
      <w:bookmarkStart w:id="9" w:name="_Toc439923603"/>
      <w:r w:rsidRPr="00EB0EEF">
        <w:rPr>
          <w:rFonts w:ascii="Arial" w:hAnsi="Arial" w:cs="Arial"/>
        </w:rPr>
        <w:br w:type="page"/>
      </w:r>
    </w:p>
    <w:p w14:paraId="179EB68B" w14:textId="6EB881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w:t>
      </w:r>
      <w:proofErr w:type="spellStart"/>
      <w:r w:rsidRPr="000028EA">
        <w:rPr>
          <w:b/>
          <w:color w:val="0067B9"/>
          <w:sz w:val="24"/>
          <w:szCs w:val="28"/>
        </w:rPr>
        <w:t>pCODR</w:t>
      </w:r>
      <w:proofErr w:type="spellEnd"/>
      <w:r w:rsidRPr="000028EA">
        <w:rPr>
          <w:b/>
          <w:color w:val="0067B9"/>
          <w:sz w:val="24"/>
          <w:szCs w:val="28"/>
        </w:rPr>
        <w:t xml:space="preserve"> </w:t>
      </w:r>
      <w:r w:rsidR="00E14476" w:rsidRPr="000028EA">
        <w:rPr>
          <w:b/>
          <w:color w:val="0067B9"/>
          <w:sz w:val="24"/>
          <w:szCs w:val="28"/>
        </w:rPr>
        <w:t xml:space="preserve">Clinician </w:t>
      </w:r>
      <w:r w:rsidRPr="000028EA">
        <w:rPr>
          <w:b/>
          <w:color w:val="0067B9"/>
          <w:sz w:val="24"/>
          <w:szCs w:val="28"/>
        </w:rPr>
        <w:t>Conflict of Interest Declarations</w:t>
      </w:r>
      <w:bookmarkEnd w:id="9"/>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 xml:space="preserve">ote: Each registered clinician must complete their own separate </w:t>
      </w:r>
      <w:proofErr w:type="spellStart"/>
      <w:r w:rsidRPr="000028EA">
        <w:rPr>
          <w:rFonts w:ascii="Arial" w:hAnsi="Arial" w:cs="Arial"/>
          <w:b/>
          <w:sz w:val="18"/>
          <w:szCs w:val="22"/>
        </w:rPr>
        <w:t>pCODR</w:t>
      </w:r>
      <w:proofErr w:type="spellEnd"/>
      <w:r w:rsidRPr="000028EA">
        <w:rPr>
          <w:rFonts w:ascii="Arial" w:hAnsi="Arial" w:cs="Arial"/>
          <w:b/>
          <w:sz w:val="18"/>
          <w:szCs w:val="22"/>
        </w:rPr>
        <w:t xml:space="preserve">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w:t>
      </w:r>
      <w:proofErr w:type="spellStart"/>
      <w:r w:rsidRPr="00EB0EEF">
        <w:rPr>
          <w:rFonts w:ascii="Arial" w:hAnsi="Arial" w:cs="Arial"/>
          <w:sz w:val="18"/>
        </w:rPr>
        <w:t>pCODR</w:t>
      </w:r>
      <w:proofErr w:type="spellEnd"/>
      <w:r w:rsidRPr="00EB0EEF">
        <w:rPr>
          <w:rFonts w:ascii="Arial" w:hAnsi="Arial" w:cs="Arial"/>
          <w:sz w:val="18"/>
        </w:rPr>
        <w:t xml:space="preserve"> process, all participants in the </w:t>
      </w:r>
      <w:proofErr w:type="spellStart"/>
      <w:r w:rsidRPr="00EB0EEF">
        <w:rPr>
          <w:rFonts w:ascii="Arial" w:hAnsi="Arial" w:cs="Arial"/>
          <w:sz w:val="18"/>
        </w:rPr>
        <w:t>pCODR</w:t>
      </w:r>
      <w:proofErr w:type="spellEnd"/>
      <w:r w:rsidRPr="00EB0EEF">
        <w:rPr>
          <w:rFonts w:ascii="Arial" w:hAnsi="Arial" w:cs="Arial"/>
          <w:sz w:val="18"/>
        </w:rPr>
        <w:t xml:space="preserve">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5F99FCB8" w:rsidR="005A28E8" w:rsidRPr="000028EA" w:rsidRDefault="005A28E8">
      <w:pPr>
        <w:rPr>
          <w:rFonts w:ascii="Arial" w:hAnsi="Arial" w:cs="Arial"/>
          <w:sz w:val="18"/>
          <w:szCs w:val="18"/>
        </w:rPr>
      </w:pPr>
    </w:p>
    <w:sectPr w:rsidR="005A28E8" w:rsidRPr="000028EA" w:rsidSect="00EB0EEF">
      <w:pgSz w:w="12240" w:h="15840" w:code="1"/>
      <w:pgMar w:top="2362" w:right="821" w:bottom="1454" w:left="82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507DC"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1044">
                            <w:rPr>
                              <w:rFonts w:ascii="Arial" w:hAnsi="Arial" w:cs="Arial"/>
                              <w:noProof/>
                              <w:sz w:val="14"/>
                              <w:szCs w:val="14"/>
                            </w:rPr>
                            <w:t>5</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1044">
                      <w:rPr>
                        <w:rFonts w:ascii="Arial" w:hAnsi="Arial" w:cs="Arial"/>
                        <w:noProof/>
                        <w:sz w:val="14"/>
                        <w:szCs w:val="14"/>
                      </w:rPr>
                      <w:t>5</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5A3BC"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1044">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C1044">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18245199"/>
    <w:multiLevelType w:val="hybridMultilevel"/>
    <w:tmpl w:val="DF0EB2DC"/>
    <w:lvl w:ilvl="0" w:tplc="1E32DF94">
      <w:start w:val="1"/>
      <w:numFmt w:val="bullet"/>
      <w:lvlText w:val=""/>
      <w:lvlJc w:val="left"/>
      <w:pPr>
        <w:ind w:left="938" w:hanging="360"/>
      </w:pPr>
      <w:rPr>
        <w:rFonts w:ascii="Symbol" w:hAnsi="Symbol" w:hint="default"/>
        <w:sz w:val="16"/>
      </w:rPr>
    </w:lvl>
    <w:lvl w:ilvl="1" w:tplc="10090017">
      <w:start w:val="1"/>
      <w:numFmt w:val="lowerLetter"/>
      <w:lvlText w:val="%2)"/>
      <w:lvlJc w:val="left"/>
      <w:pPr>
        <w:ind w:left="1658" w:hanging="360"/>
      </w:pPr>
      <w:rPr>
        <w:rFonts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19" w15:restartNumberingAfterBreak="0">
    <w:nsid w:val="1F2877C7"/>
    <w:multiLevelType w:val="hybridMultilevel"/>
    <w:tmpl w:val="30B4CA8A"/>
    <w:lvl w:ilvl="0" w:tplc="1009000F">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1"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5"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6" w15:restartNumberingAfterBreak="0">
    <w:nsid w:val="3B555AB9"/>
    <w:multiLevelType w:val="hybridMultilevel"/>
    <w:tmpl w:val="B9441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8"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4"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36" w15:restartNumberingAfterBreak="0">
    <w:nsid w:val="5A652E7D"/>
    <w:multiLevelType w:val="hybridMultilevel"/>
    <w:tmpl w:val="9D58A8C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38"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39"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2"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4"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5"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46"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47"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49"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2"/>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44"/>
  </w:num>
  <w:num w:numId="16">
    <w:abstractNumId w:val="28"/>
  </w:num>
  <w:num w:numId="17">
    <w:abstractNumId w:val="33"/>
  </w:num>
  <w:num w:numId="18">
    <w:abstractNumId w:val="49"/>
  </w:num>
  <w:num w:numId="19">
    <w:abstractNumId w:val="31"/>
  </w:num>
  <w:num w:numId="20">
    <w:abstractNumId w:val="11"/>
  </w:num>
  <w:num w:numId="21">
    <w:abstractNumId w:val="9"/>
  </w:num>
  <w:num w:numId="22">
    <w:abstractNumId w:val="30"/>
  </w:num>
  <w:num w:numId="23">
    <w:abstractNumId w:val="47"/>
  </w:num>
  <w:num w:numId="24">
    <w:abstractNumId w:val="15"/>
  </w:num>
  <w:num w:numId="25">
    <w:abstractNumId w:val="27"/>
  </w:num>
  <w:num w:numId="26">
    <w:abstractNumId w:val="38"/>
  </w:num>
  <w:num w:numId="27">
    <w:abstractNumId w:val="20"/>
  </w:num>
  <w:num w:numId="28">
    <w:abstractNumId w:val="25"/>
  </w:num>
  <w:num w:numId="29">
    <w:abstractNumId w:val="17"/>
  </w:num>
  <w:num w:numId="30">
    <w:abstractNumId w:val="45"/>
  </w:num>
  <w:num w:numId="31">
    <w:abstractNumId w:val="40"/>
  </w:num>
  <w:num w:numId="32">
    <w:abstractNumId w:val="48"/>
    <w:lvlOverride w:ilvl="0">
      <w:startOverride w:val="1"/>
    </w:lvlOverride>
  </w:num>
  <w:num w:numId="33">
    <w:abstractNumId w:val="37"/>
    <w:lvlOverride w:ilvl="0">
      <w:startOverride w:val="1"/>
    </w:lvlOverride>
  </w:num>
  <w:num w:numId="34">
    <w:abstractNumId w:val="39"/>
  </w:num>
  <w:num w:numId="35">
    <w:abstractNumId w:val="24"/>
  </w:num>
  <w:num w:numId="36">
    <w:abstractNumId w:val="23"/>
  </w:num>
  <w:num w:numId="37">
    <w:abstractNumId w:val="22"/>
  </w:num>
  <w:num w:numId="38">
    <w:abstractNumId w:val="12"/>
  </w:num>
  <w:num w:numId="39">
    <w:abstractNumId w:val="46"/>
  </w:num>
  <w:num w:numId="40">
    <w:abstractNumId w:val="16"/>
  </w:num>
  <w:num w:numId="41">
    <w:abstractNumId w:val="41"/>
  </w:num>
  <w:num w:numId="42">
    <w:abstractNumId w:val="18"/>
  </w:num>
  <w:num w:numId="43">
    <w:abstractNumId w:val="36"/>
  </w:num>
  <w:num w:numId="44">
    <w:abstractNumId w:val="43"/>
  </w:num>
  <w:num w:numId="45">
    <w:abstractNumId w:val="21"/>
  </w:num>
  <w:num w:numId="46">
    <w:abstractNumId w:val="13"/>
  </w:num>
  <w:num w:numId="47">
    <w:abstractNumId w:val="34"/>
  </w:num>
  <w:num w:numId="48">
    <w:abstractNumId w:val="26"/>
  </w:num>
  <w:num w:numId="49">
    <w:abstractNumId w:val="29"/>
  </w:num>
  <w:num w:numId="50">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SystemFonts/>
  <w:proofState w:spelling="clean" w:grammar="clean"/>
  <w:defaultTabStop w:val="720"/>
  <w:drawingGridHorizontalSpacing w:val="10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6FE5"/>
    <w:rsid w:val="002B75E4"/>
    <w:rsid w:val="002C16F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7F4F"/>
    <w:rsid w:val="00550D04"/>
    <w:rsid w:val="00554ADB"/>
    <w:rsid w:val="00557689"/>
    <w:rsid w:val="005607E4"/>
    <w:rsid w:val="00562E8A"/>
    <w:rsid w:val="0056652C"/>
    <w:rsid w:val="005668D0"/>
    <w:rsid w:val="00567507"/>
    <w:rsid w:val="005677EF"/>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57B8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50248"/>
    <w:rsid w:val="00851CEC"/>
    <w:rsid w:val="00852259"/>
    <w:rsid w:val="00862355"/>
    <w:rsid w:val="008624EC"/>
    <w:rsid w:val="00865015"/>
    <w:rsid w:val="00866DE5"/>
    <w:rsid w:val="008739D7"/>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044"/>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www.esmo.org/Guidelines/Haematological-Malignancies/Multiple-Myelo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ascopubs.org/doi/pdf/10.1200/JCO.2017.76.6402" TargetMode="External"/><Relationship Id="rId2" Type="http://schemas.openxmlformats.org/officeDocument/2006/relationships/numbering" Target="numbering.xml"/><Relationship Id="rId16" Type="http://schemas.openxmlformats.org/officeDocument/2006/relationships/hyperlink" Target="https://www.nccn.org/professionals/physician_gls/pdf/myeloma.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loodjournal.org/content/132/Suppl_1/LBA-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2252172?term=NCT02252172&amp;ra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CC8D6-E0B2-47A7-A42B-83411B51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2019-06-13T14:47:00Z</dcterms:modified>
</cp:coreProperties>
</file>