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2AD4" w14:textId="3E464031" w:rsidR="004C2D93" w:rsidRPr="00323732" w:rsidRDefault="00205435" w:rsidP="004C2D93">
      <w:pPr>
        <w:pStyle w:val="DocumentTitle"/>
        <w:tabs>
          <w:tab w:val="left" w:pos="1074"/>
        </w:tabs>
        <w:spacing w:after="240"/>
        <w:rPr>
          <w:color w:val="595959"/>
          <w:szCs w:val="20"/>
        </w:rPr>
      </w:pPr>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w:t>
      </w:r>
      <w:proofErr w:type="spellStart"/>
      <w:r w:rsidRPr="00EB0EEF">
        <w:rPr>
          <w:rFonts w:ascii="Arial" w:hAnsi="Arial" w:cs="Arial"/>
          <w:i/>
          <w:sz w:val="18"/>
          <w:szCs w:val="18"/>
        </w:rPr>
        <w:t>pCODR</w:t>
      </w:r>
      <w:proofErr w:type="spellEnd"/>
      <w:r w:rsidRPr="00EB0EEF">
        <w:rPr>
          <w:rFonts w:ascii="Arial" w:hAnsi="Arial" w:cs="Arial"/>
          <w:i/>
          <w:sz w:val="18"/>
          <w:szCs w:val="18"/>
        </w:rPr>
        <w:t xml:space="preserve">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966"/>
        <w:gridCol w:w="6747"/>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6B246F9C" w14:textId="77777777" w:rsidR="00CB5E8A" w:rsidRDefault="00CB5E8A" w:rsidP="00CB5E8A">
      <w:pPr>
        <w:spacing w:after="0" w:line="276" w:lineRule="auto"/>
        <w:rPr>
          <w:rFonts w:ascii="Arial" w:hAnsi="Arial" w:cs="Arial"/>
          <w:sz w:val="18"/>
        </w:rPr>
      </w:pPr>
      <w:r>
        <w:rPr>
          <w:rFonts w:ascii="Arial" w:hAnsi="Arial" w:cs="Arial"/>
          <w:sz w:val="18"/>
        </w:rPr>
        <w:t>If this is a joint clinician input submission, please indicate the organization this submission is on behalf of, as well as list the names of the other clinicians and disease site specialty (if applicable). Please note that all clinicians listed must also register with CADTH and complete conflict of interest declaration forms.</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814"/>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450"/>
        <w:gridCol w:w="3957"/>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255"/>
        <w:gridCol w:w="6573"/>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285553" w:rsidRDefault="00121EB1" w:rsidP="00EB0EEF">
            <w:pPr>
              <w:pStyle w:val="DocumentTitle"/>
              <w:tabs>
                <w:tab w:val="left" w:pos="1074"/>
              </w:tabs>
              <w:spacing w:before="80" w:after="80"/>
              <w:rPr>
                <w:color w:val="FFFFFF" w:themeColor="background1"/>
                <w:sz w:val="18"/>
                <w:szCs w:val="20"/>
              </w:rPr>
            </w:pPr>
            <w:r w:rsidRPr="00285553">
              <w:rPr>
                <w:color w:val="FFFFFF" w:themeColor="background1"/>
                <w:sz w:val="18"/>
                <w:szCs w:val="20"/>
              </w:rPr>
              <w:t xml:space="preserve">CADTH </w:t>
            </w:r>
            <w:proofErr w:type="spellStart"/>
            <w:r w:rsidRPr="00285553">
              <w:rPr>
                <w:color w:val="FFFFFF" w:themeColor="background1"/>
                <w:sz w:val="18"/>
                <w:szCs w:val="20"/>
              </w:rPr>
              <w:t>pCODR</w:t>
            </w:r>
            <w:proofErr w:type="spellEnd"/>
            <w:r w:rsidRPr="00285553">
              <w:rPr>
                <w:color w:val="FFFFFF" w:themeColor="background1"/>
                <w:sz w:val="18"/>
                <w:szCs w:val="20"/>
              </w:rPr>
              <w:t xml:space="preserve">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45B08036" w:rsidR="00121EB1" w:rsidRPr="00285553" w:rsidRDefault="00CB5E8A" w:rsidP="00860375">
            <w:pPr>
              <w:pStyle w:val="DocumentTitle"/>
              <w:tabs>
                <w:tab w:val="left" w:pos="1074"/>
              </w:tabs>
              <w:spacing w:before="0" w:after="0"/>
              <w:rPr>
                <w:sz w:val="18"/>
                <w:szCs w:val="20"/>
              </w:rPr>
            </w:pPr>
            <w:proofErr w:type="spellStart"/>
            <w:r w:rsidRPr="00285553">
              <w:rPr>
                <w:sz w:val="18"/>
                <w:szCs w:val="20"/>
              </w:rPr>
              <w:t>pCODR</w:t>
            </w:r>
            <w:proofErr w:type="spellEnd"/>
            <w:r w:rsidRPr="00285553">
              <w:rPr>
                <w:sz w:val="18"/>
                <w:szCs w:val="20"/>
              </w:rPr>
              <w:t xml:space="preserve"> 101</w:t>
            </w:r>
            <w:r w:rsidR="00F60A6E" w:rsidRPr="00285553">
              <w:rPr>
                <w:sz w:val="18"/>
                <w:szCs w:val="20"/>
              </w:rPr>
              <w:t>9</w:t>
            </w:r>
            <w:r w:rsidR="008F2C64" w:rsidRPr="00285553">
              <w:rPr>
                <w:sz w:val="18"/>
                <w:szCs w:val="20"/>
              </w:rPr>
              <w:t>4</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285553" w:rsidRDefault="00F369F8" w:rsidP="00EB0EEF">
            <w:pPr>
              <w:pStyle w:val="DocumentTitle"/>
              <w:tabs>
                <w:tab w:val="left" w:pos="1074"/>
              </w:tabs>
              <w:spacing w:before="80" w:after="80"/>
              <w:rPr>
                <w:color w:val="FFFFFF" w:themeColor="background1"/>
                <w:sz w:val="18"/>
                <w:szCs w:val="20"/>
              </w:rPr>
            </w:pPr>
            <w:r w:rsidRPr="00285553">
              <w:rPr>
                <w:color w:val="FFFFFF" w:themeColor="background1"/>
                <w:sz w:val="18"/>
                <w:szCs w:val="20"/>
              </w:rPr>
              <w:t xml:space="preserve">Generic </w:t>
            </w:r>
            <w:r w:rsidR="00D47251" w:rsidRPr="00285553">
              <w:rPr>
                <w:color w:val="FFFFFF" w:themeColor="background1"/>
                <w:sz w:val="18"/>
                <w:szCs w:val="20"/>
              </w:rPr>
              <w:t>D</w:t>
            </w:r>
            <w:r w:rsidRPr="00285553">
              <w:rPr>
                <w:color w:val="FFFFFF" w:themeColor="background1"/>
                <w:sz w:val="18"/>
                <w:szCs w:val="20"/>
              </w:rPr>
              <w:t xml:space="preserve">rug </w:t>
            </w:r>
            <w:r w:rsidR="00D47251" w:rsidRPr="00285553">
              <w:rPr>
                <w:color w:val="FFFFFF" w:themeColor="background1"/>
                <w:sz w:val="18"/>
                <w:szCs w:val="20"/>
              </w:rPr>
              <w:t>N</w:t>
            </w:r>
            <w:r w:rsidRPr="00285553">
              <w:rPr>
                <w:color w:val="FFFFFF" w:themeColor="background1"/>
                <w:sz w:val="18"/>
                <w:szCs w:val="20"/>
              </w:rPr>
              <w:t xml:space="preserve">ame (Brand </w:t>
            </w:r>
            <w:r w:rsidR="00716B05" w:rsidRPr="00285553">
              <w:rPr>
                <w:color w:val="FFFFFF" w:themeColor="background1"/>
                <w:sz w:val="18"/>
                <w:szCs w:val="20"/>
              </w:rPr>
              <w:t>N</w:t>
            </w:r>
            <w:r w:rsidRPr="00285553">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3DA3D273" w:rsidR="00F369F8" w:rsidRPr="00285553" w:rsidRDefault="00285553" w:rsidP="00B073A2">
            <w:pPr>
              <w:pStyle w:val="DocumentTitle"/>
              <w:tabs>
                <w:tab w:val="left" w:pos="1074"/>
              </w:tabs>
              <w:spacing w:before="0" w:after="0"/>
              <w:rPr>
                <w:sz w:val="18"/>
                <w:szCs w:val="20"/>
              </w:rPr>
            </w:pPr>
            <w:proofErr w:type="spellStart"/>
            <w:r w:rsidRPr="00285553">
              <w:rPr>
                <w:sz w:val="18"/>
                <w:szCs w:val="20"/>
              </w:rPr>
              <w:t>Ribociclib</w:t>
            </w:r>
            <w:proofErr w:type="spellEnd"/>
            <w:r w:rsidRPr="00285553">
              <w:rPr>
                <w:sz w:val="18"/>
                <w:szCs w:val="20"/>
              </w:rPr>
              <w:t xml:space="preserve"> (</w:t>
            </w:r>
            <w:proofErr w:type="spellStart"/>
            <w:r w:rsidRPr="00285553">
              <w:rPr>
                <w:sz w:val="18"/>
                <w:szCs w:val="20"/>
              </w:rPr>
              <w:t>Kisqali</w:t>
            </w:r>
            <w:proofErr w:type="spellEnd"/>
            <w:r w:rsidRPr="00285553">
              <w:rPr>
                <w:sz w:val="18"/>
                <w:szCs w:val="20"/>
              </w:rPr>
              <w:t>)</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6649B578" w:rsidR="00F369F8" w:rsidRPr="008F2C64" w:rsidRDefault="00285553" w:rsidP="00860375">
            <w:pPr>
              <w:pStyle w:val="DocumentTitle"/>
              <w:tabs>
                <w:tab w:val="left" w:pos="1074"/>
              </w:tabs>
              <w:spacing w:before="0" w:after="0"/>
              <w:rPr>
                <w:sz w:val="18"/>
                <w:szCs w:val="20"/>
                <w:highlight w:val="yellow"/>
              </w:rPr>
            </w:pPr>
            <w:r w:rsidRPr="00285553">
              <w:rPr>
                <w:sz w:val="18"/>
                <w:szCs w:val="20"/>
              </w:rPr>
              <w:t>Advanced Breast Cancer</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70A085D0" w:rsidR="00F81D31" w:rsidRPr="008F2C64" w:rsidRDefault="00285553" w:rsidP="00DF3211">
            <w:pPr>
              <w:pStyle w:val="DocumentTitle"/>
              <w:tabs>
                <w:tab w:val="left" w:pos="1074"/>
              </w:tabs>
              <w:spacing w:before="0" w:after="0"/>
              <w:rPr>
                <w:sz w:val="18"/>
                <w:szCs w:val="18"/>
                <w:highlight w:val="yellow"/>
              </w:rPr>
            </w:pPr>
            <w:r>
              <w:rPr>
                <w:sz w:val="18"/>
                <w:szCs w:val="18"/>
              </w:rPr>
              <w:t>I</w:t>
            </w:r>
            <w:r w:rsidRPr="00285553">
              <w:rPr>
                <w:sz w:val="18"/>
                <w:szCs w:val="18"/>
              </w:rPr>
              <w:t>n combination with an aromatase inhibitor (AI) and a luteinizing hormone releasing hormone (LHRH) agonist for the treatment of pre/peri- menopausal women with hormone receptor (HR)-positive, human epidermal growth factor receptor 2 (HER2)-negative advanced or metastatic breast cancer, as initial endocrine-based therapy</w:t>
            </w:r>
            <w:r w:rsidR="00DF3211">
              <w:rPr>
                <w:sz w:val="18"/>
                <w:szCs w:val="18"/>
              </w:rPr>
              <w:t>.</w:t>
            </w:r>
          </w:p>
        </w:tc>
      </w:tr>
      <w:tr w:rsidR="00F369F8" w:rsidRPr="008F2C64"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285553" w:rsidRDefault="00554ADB" w:rsidP="00EB0EEF">
            <w:pPr>
              <w:pStyle w:val="DocumentTitle"/>
              <w:tabs>
                <w:tab w:val="left" w:pos="1074"/>
              </w:tabs>
              <w:spacing w:before="0" w:after="0"/>
              <w:rPr>
                <w:color w:val="FFFFFF" w:themeColor="background1"/>
                <w:sz w:val="18"/>
                <w:szCs w:val="20"/>
              </w:rPr>
            </w:pPr>
            <w:r w:rsidRPr="00285553">
              <w:rPr>
                <w:color w:val="FFFFFF" w:themeColor="background1"/>
                <w:sz w:val="18"/>
                <w:szCs w:val="20"/>
              </w:rPr>
              <w:t xml:space="preserve">Trial(s) </w:t>
            </w:r>
            <w:r w:rsidR="00D47251" w:rsidRPr="00285553">
              <w:rPr>
                <w:color w:val="FFFFFF" w:themeColor="background1"/>
                <w:sz w:val="18"/>
                <w:szCs w:val="20"/>
              </w:rPr>
              <w:t>B</w:t>
            </w:r>
            <w:r w:rsidRPr="00285553">
              <w:rPr>
                <w:color w:val="FFFFFF" w:themeColor="background1"/>
                <w:sz w:val="18"/>
                <w:szCs w:val="20"/>
              </w:rPr>
              <w:t xml:space="preserve">eing </w:t>
            </w:r>
            <w:r w:rsidR="00D47251" w:rsidRPr="00285553">
              <w:rPr>
                <w:color w:val="FFFFFF" w:themeColor="background1"/>
                <w:sz w:val="18"/>
                <w:szCs w:val="20"/>
              </w:rPr>
              <w:t>S</w:t>
            </w:r>
            <w:r w:rsidRPr="00285553">
              <w:rPr>
                <w:color w:val="FFFFFF" w:themeColor="background1"/>
                <w:sz w:val="18"/>
                <w:szCs w:val="20"/>
              </w:rPr>
              <w:t xml:space="preserve">ubmitted </w:t>
            </w:r>
            <w:r w:rsidR="00F92BE1" w:rsidRPr="00285553">
              <w:rPr>
                <w:color w:val="FFFFFF" w:themeColor="background1"/>
                <w:sz w:val="18"/>
                <w:szCs w:val="20"/>
              </w:rPr>
              <w:t>to</w:t>
            </w:r>
            <w:r w:rsidRPr="00285553">
              <w:rPr>
                <w:color w:val="FFFFFF" w:themeColor="background1"/>
                <w:sz w:val="18"/>
                <w:szCs w:val="20"/>
              </w:rPr>
              <w:t xml:space="preserve"> </w:t>
            </w:r>
            <w:proofErr w:type="spellStart"/>
            <w:r w:rsidRPr="00285553">
              <w:rPr>
                <w:color w:val="FFFFFF" w:themeColor="background1"/>
                <w:sz w:val="18"/>
                <w:szCs w:val="20"/>
              </w:rPr>
              <w:t>pCODR</w:t>
            </w:r>
            <w:r w:rsidR="00865015" w:rsidRPr="00285553">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52AF8FBD" w14:textId="0B597DD8" w:rsidR="00285553" w:rsidRPr="00285553" w:rsidRDefault="00285553" w:rsidP="00285553">
            <w:pPr>
              <w:pStyle w:val="DocumentTitle"/>
              <w:numPr>
                <w:ilvl w:val="0"/>
                <w:numId w:val="50"/>
              </w:numPr>
              <w:tabs>
                <w:tab w:val="left" w:pos="1074"/>
              </w:tabs>
              <w:spacing w:before="0" w:after="0"/>
              <w:rPr>
                <w:sz w:val="18"/>
                <w:szCs w:val="18"/>
                <w:lang w:val="fr-FR"/>
              </w:rPr>
            </w:pPr>
            <w:r w:rsidRPr="00285553">
              <w:rPr>
                <w:color w:val="000000"/>
                <w:sz w:val="18"/>
                <w:szCs w:val="18"/>
                <w:shd w:val="clear" w:color="auto" w:fill="FFFFFF"/>
                <w:lang w:val="fr-FR"/>
              </w:rPr>
              <w:t>MONALEESA-7 (</w:t>
            </w:r>
            <w:hyperlink r:id="rId14" w:tgtFrame="_blank" w:history="1">
              <w:r w:rsidRPr="00285553">
                <w:rPr>
                  <w:rStyle w:val="Hyperlink"/>
                  <w:sz w:val="18"/>
                  <w:szCs w:val="18"/>
                  <w:bdr w:val="none" w:sz="0" w:space="0" w:color="auto" w:frame="1"/>
                  <w:shd w:val="clear" w:color="auto" w:fill="FFFFFF"/>
                  <w:lang w:val="fr-FR"/>
                </w:rPr>
                <w:t>NCT02278120</w:t>
              </w:r>
            </w:hyperlink>
            <w:r w:rsidRPr="00285553">
              <w:rPr>
                <w:color w:val="000000"/>
                <w:sz w:val="18"/>
                <w:szCs w:val="18"/>
                <w:shd w:val="clear" w:color="auto" w:fill="FFFFFF"/>
                <w:lang w:val="fr-FR"/>
              </w:rPr>
              <w:t>); </w:t>
            </w:r>
            <w:proofErr w:type="spellStart"/>
            <w:r w:rsidRPr="00285553">
              <w:rPr>
                <w:sz w:val="18"/>
                <w:szCs w:val="18"/>
              </w:rPr>
              <w:fldChar w:fldCharType="begin"/>
            </w:r>
            <w:r w:rsidRPr="00285553">
              <w:rPr>
                <w:sz w:val="18"/>
                <w:szCs w:val="18"/>
                <w:lang w:val="fr-FR"/>
              </w:rPr>
              <w:instrText xml:space="preserve"> HYPERLINK "https://www.sciencedirect.com/science/article/pii/S1470204518302924?via%3Dihub" \t "_blank" </w:instrText>
            </w:r>
            <w:r w:rsidRPr="00285553">
              <w:rPr>
                <w:sz w:val="18"/>
                <w:szCs w:val="18"/>
              </w:rPr>
              <w:fldChar w:fldCharType="separate"/>
            </w:r>
            <w:r w:rsidRPr="00285553">
              <w:rPr>
                <w:rStyle w:val="Hyperlink"/>
                <w:sz w:val="18"/>
                <w:szCs w:val="18"/>
                <w:bdr w:val="none" w:sz="0" w:space="0" w:color="auto" w:frame="1"/>
                <w:shd w:val="clear" w:color="auto" w:fill="FFFFFF"/>
                <w:lang w:val="fr-FR"/>
              </w:rPr>
              <w:t>Tripathy</w:t>
            </w:r>
            <w:proofErr w:type="spellEnd"/>
            <w:r w:rsidRPr="00285553">
              <w:rPr>
                <w:rStyle w:val="Hyperlink"/>
                <w:sz w:val="18"/>
                <w:szCs w:val="18"/>
                <w:bdr w:val="none" w:sz="0" w:space="0" w:color="auto" w:frame="1"/>
                <w:shd w:val="clear" w:color="auto" w:fill="FFFFFF"/>
                <w:lang w:val="fr-FR"/>
              </w:rPr>
              <w:t xml:space="preserve"> et al, Lancet </w:t>
            </w:r>
            <w:proofErr w:type="spellStart"/>
            <w:r w:rsidRPr="00285553">
              <w:rPr>
                <w:rStyle w:val="Hyperlink"/>
                <w:sz w:val="18"/>
                <w:szCs w:val="18"/>
                <w:bdr w:val="none" w:sz="0" w:space="0" w:color="auto" w:frame="1"/>
                <w:shd w:val="clear" w:color="auto" w:fill="FFFFFF"/>
                <w:lang w:val="fr-FR"/>
              </w:rPr>
              <w:t>Oncol</w:t>
            </w:r>
            <w:proofErr w:type="spellEnd"/>
            <w:r w:rsidRPr="00285553">
              <w:rPr>
                <w:rStyle w:val="Hyperlink"/>
                <w:sz w:val="18"/>
                <w:szCs w:val="18"/>
                <w:bdr w:val="none" w:sz="0" w:space="0" w:color="auto" w:frame="1"/>
                <w:shd w:val="clear" w:color="auto" w:fill="FFFFFF"/>
                <w:lang w:val="fr-FR"/>
              </w:rPr>
              <w:t xml:space="preserve"> 2018</w:t>
            </w:r>
            <w:r w:rsidRPr="00285553">
              <w:rPr>
                <w:sz w:val="18"/>
                <w:szCs w:val="18"/>
              </w:rPr>
              <w:fldChar w:fldCharType="end"/>
            </w:r>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285553" w:rsidRDefault="00275E1C" w:rsidP="00EB0EEF">
            <w:pPr>
              <w:pStyle w:val="DocumentTitle"/>
              <w:tabs>
                <w:tab w:val="left" w:pos="1074"/>
              </w:tabs>
              <w:spacing w:before="0" w:after="0"/>
              <w:rPr>
                <w:color w:val="FFFFFF" w:themeColor="background1"/>
                <w:sz w:val="18"/>
                <w:szCs w:val="20"/>
              </w:rPr>
            </w:pPr>
            <w:r w:rsidRPr="00285553">
              <w:rPr>
                <w:color w:val="FFFFFF" w:themeColor="background1"/>
                <w:sz w:val="18"/>
                <w:szCs w:val="20"/>
              </w:rPr>
              <w:t xml:space="preserve">Health Canada </w:t>
            </w:r>
            <w:r w:rsidR="00D47251" w:rsidRPr="00285553">
              <w:rPr>
                <w:color w:val="FFFFFF" w:themeColor="background1"/>
                <w:sz w:val="18"/>
                <w:szCs w:val="20"/>
              </w:rPr>
              <w:t>S</w:t>
            </w:r>
            <w:r w:rsidRPr="00285553">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1C628067" w:rsidR="00DF3211" w:rsidRPr="00285553" w:rsidRDefault="000635BE" w:rsidP="00F60A6E">
            <w:pPr>
              <w:pStyle w:val="DocumentTitle"/>
              <w:tabs>
                <w:tab w:val="left" w:pos="1074"/>
              </w:tabs>
              <w:spacing w:after="0"/>
              <w:rPr>
                <w:sz w:val="18"/>
                <w:szCs w:val="20"/>
              </w:rPr>
            </w:pPr>
            <w:r w:rsidRPr="00285553">
              <w:rPr>
                <w:sz w:val="18"/>
                <w:szCs w:val="20"/>
              </w:rPr>
              <w:t>Pending</w:t>
            </w:r>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7D51B5DC" w:rsidR="00F369F8" w:rsidRPr="00DF3211" w:rsidRDefault="00716B05" w:rsidP="00EB0EEF">
            <w:pPr>
              <w:pStyle w:val="DocumentTitle"/>
              <w:tabs>
                <w:tab w:val="left" w:pos="1074"/>
              </w:tabs>
              <w:spacing w:before="0" w:after="0"/>
              <w:rPr>
                <w:color w:val="FFFFFF" w:themeColor="background1"/>
                <w:sz w:val="18"/>
                <w:szCs w:val="20"/>
              </w:rPr>
            </w:pPr>
            <w:r w:rsidRPr="00DF3211">
              <w:rPr>
                <w:color w:val="FFFFFF" w:themeColor="background1"/>
                <w:sz w:val="18"/>
                <w:szCs w:val="20"/>
              </w:rPr>
              <w:t>FDA</w:t>
            </w:r>
          </w:p>
        </w:tc>
        <w:tc>
          <w:tcPr>
            <w:tcW w:w="3035" w:type="pct"/>
            <w:shd w:val="clear" w:color="auto" w:fill="auto"/>
            <w:tcMar>
              <w:top w:w="29" w:type="dxa"/>
              <w:left w:w="115" w:type="dxa"/>
              <w:bottom w:w="29" w:type="dxa"/>
              <w:right w:w="115" w:type="dxa"/>
            </w:tcMar>
          </w:tcPr>
          <w:p w14:paraId="30C9778D" w14:textId="26E97430" w:rsidR="003920FE" w:rsidRPr="00DF3211" w:rsidRDefault="00DF3211" w:rsidP="00DF3211">
            <w:pPr>
              <w:pStyle w:val="DocumentTitle"/>
              <w:tabs>
                <w:tab w:val="left" w:pos="1074"/>
              </w:tabs>
              <w:spacing w:before="0" w:after="0"/>
              <w:rPr>
                <w:sz w:val="18"/>
                <w:szCs w:val="20"/>
              </w:rPr>
            </w:pPr>
            <w:hyperlink r:id="rId15" w:history="1">
              <w:r w:rsidR="003920FE" w:rsidRPr="00DF3211">
                <w:rPr>
                  <w:rStyle w:val="Hyperlink"/>
                  <w:sz w:val="18"/>
                  <w:szCs w:val="20"/>
                </w:rPr>
                <w:t>July 18, 2018</w:t>
              </w:r>
            </w:hyperlink>
          </w:p>
          <w:p w14:paraId="3AC44E6E" w14:textId="77777777" w:rsidR="00DF3211" w:rsidRPr="00DF3211" w:rsidRDefault="00DF3211" w:rsidP="00DF3211">
            <w:pPr>
              <w:pStyle w:val="DocumentTitle"/>
              <w:tabs>
                <w:tab w:val="left" w:pos="1074"/>
              </w:tabs>
              <w:spacing w:before="0" w:after="0"/>
              <w:rPr>
                <w:sz w:val="18"/>
                <w:szCs w:val="20"/>
              </w:rPr>
            </w:pPr>
            <w:r w:rsidRPr="00DF3211">
              <w:rPr>
                <w:sz w:val="18"/>
                <w:szCs w:val="20"/>
              </w:rPr>
              <w:t>I</w:t>
            </w:r>
            <w:r w:rsidRPr="00DF3211">
              <w:rPr>
                <w:sz w:val="18"/>
                <w:szCs w:val="20"/>
              </w:rPr>
              <w:t>n combination</w:t>
            </w:r>
            <w:r w:rsidRPr="00DF3211">
              <w:rPr>
                <w:sz w:val="18"/>
                <w:szCs w:val="20"/>
              </w:rPr>
              <w:t xml:space="preserve"> </w:t>
            </w:r>
            <w:r w:rsidRPr="00DF3211">
              <w:rPr>
                <w:sz w:val="18"/>
                <w:szCs w:val="20"/>
              </w:rPr>
              <w:t>with:</w:t>
            </w:r>
          </w:p>
          <w:p w14:paraId="78DFE80A" w14:textId="77777777" w:rsidR="00DF3211" w:rsidRPr="00DF3211" w:rsidRDefault="00DF3211" w:rsidP="00DF3211">
            <w:pPr>
              <w:pStyle w:val="DocumentTitle"/>
              <w:numPr>
                <w:ilvl w:val="0"/>
                <w:numId w:val="50"/>
              </w:numPr>
              <w:tabs>
                <w:tab w:val="left" w:pos="1074"/>
              </w:tabs>
              <w:spacing w:before="0" w:after="0"/>
              <w:rPr>
                <w:sz w:val="18"/>
                <w:szCs w:val="20"/>
              </w:rPr>
            </w:pPr>
            <w:r w:rsidRPr="00DF3211">
              <w:rPr>
                <w:sz w:val="18"/>
                <w:szCs w:val="20"/>
              </w:rPr>
              <w:t>an aromatase inhibitor for the treatment of</w:t>
            </w:r>
            <w:r w:rsidRPr="00DF3211">
              <w:rPr>
                <w:sz w:val="18"/>
                <w:szCs w:val="20"/>
              </w:rPr>
              <w:t xml:space="preserve"> </w:t>
            </w:r>
            <w:r w:rsidRPr="00DF3211">
              <w:rPr>
                <w:sz w:val="18"/>
                <w:szCs w:val="20"/>
              </w:rPr>
              <w:t>pre/perimenopausal or postmenopausal women with</w:t>
            </w:r>
            <w:r w:rsidRPr="00DF3211">
              <w:rPr>
                <w:sz w:val="18"/>
                <w:szCs w:val="20"/>
              </w:rPr>
              <w:t xml:space="preserve"> </w:t>
            </w:r>
            <w:r w:rsidRPr="00DF3211">
              <w:rPr>
                <w:sz w:val="18"/>
                <w:szCs w:val="20"/>
              </w:rPr>
              <w:t>hormone receptor (HR)-positive, human epidermal</w:t>
            </w:r>
            <w:r w:rsidRPr="00DF3211">
              <w:rPr>
                <w:sz w:val="18"/>
                <w:szCs w:val="20"/>
              </w:rPr>
              <w:t xml:space="preserve"> </w:t>
            </w:r>
            <w:r w:rsidRPr="00DF3211">
              <w:rPr>
                <w:sz w:val="18"/>
                <w:szCs w:val="20"/>
              </w:rPr>
              <w:t>growth factor receptor 2 (HER2)-negative advanced</w:t>
            </w:r>
            <w:r w:rsidRPr="00DF3211">
              <w:rPr>
                <w:sz w:val="18"/>
                <w:szCs w:val="20"/>
              </w:rPr>
              <w:t xml:space="preserve"> </w:t>
            </w:r>
            <w:r w:rsidRPr="00DF3211">
              <w:rPr>
                <w:sz w:val="18"/>
                <w:szCs w:val="20"/>
              </w:rPr>
              <w:t>or metastatic breast cancer, as initial endocrine</w:t>
            </w:r>
            <w:r w:rsidRPr="00DF3211">
              <w:rPr>
                <w:sz w:val="18"/>
                <w:szCs w:val="20"/>
              </w:rPr>
              <w:t xml:space="preserve"> </w:t>
            </w:r>
            <w:r w:rsidRPr="00DF3211">
              <w:rPr>
                <w:sz w:val="18"/>
                <w:szCs w:val="20"/>
              </w:rPr>
              <w:t>based therapy; or</w:t>
            </w:r>
          </w:p>
          <w:p w14:paraId="2EE07483" w14:textId="1FBB14BB" w:rsidR="003920FE" w:rsidRPr="00DF3211" w:rsidRDefault="00DF3211" w:rsidP="00DF3211">
            <w:pPr>
              <w:pStyle w:val="DocumentTitle"/>
              <w:numPr>
                <w:ilvl w:val="0"/>
                <w:numId w:val="50"/>
              </w:numPr>
              <w:tabs>
                <w:tab w:val="left" w:pos="1074"/>
              </w:tabs>
              <w:spacing w:before="0" w:after="0"/>
              <w:rPr>
                <w:sz w:val="18"/>
                <w:szCs w:val="20"/>
              </w:rPr>
            </w:pPr>
            <w:proofErr w:type="spellStart"/>
            <w:r w:rsidRPr="00DF3211">
              <w:rPr>
                <w:sz w:val="18"/>
                <w:szCs w:val="20"/>
              </w:rPr>
              <w:t>fulvestrant</w:t>
            </w:r>
            <w:proofErr w:type="spellEnd"/>
            <w:r w:rsidRPr="00DF3211">
              <w:rPr>
                <w:sz w:val="18"/>
                <w:szCs w:val="20"/>
              </w:rPr>
              <w:t xml:space="preserve"> for the treatment of postmenopausal</w:t>
            </w:r>
            <w:r w:rsidRPr="00DF3211">
              <w:rPr>
                <w:sz w:val="18"/>
                <w:szCs w:val="20"/>
              </w:rPr>
              <w:t xml:space="preserve"> </w:t>
            </w:r>
            <w:r w:rsidRPr="00DF3211">
              <w:rPr>
                <w:sz w:val="18"/>
                <w:szCs w:val="20"/>
              </w:rPr>
              <w:t>women with HR-positive, HER2-negative advanced</w:t>
            </w:r>
            <w:r w:rsidRPr="00DF3211">
              <w:rPr>
                <w:sz w:val="18"/>
                <w:szCs w:val="20"/>
              </w:rPr>
              <w:t xml:space="preserve"> </w:t>
            </w:r>
            <w:r w:rsidRPr="00DF3211">
              <w:rPr>
                <w:sz w:val="18"/>
                <w:szCs w:val="20"/>
              </w:rPr>
              <w:t>or metastatic breast cancer, as initial endocrine</w:t>
            </w:r>
            <w:r w:rsidRPr="00DF3211">
              <w:rPr>
                <w:sz w:val="18"/>
                <w:szCs w:val="20"/>
              </w:rPr>
              <w:t xml:space="preserve"> </w:t>
            </w:r>
            <w:r w:rsidRPr="00DF3211">
              <w:rPr>
                <w:sz w:val="18"/>
                <w:szCs w:val="20"/>
              </w:rPr>
              <w:t>based therapy or following disease progression on</w:t>
            </w:r>
            <w:r w:rsidRPr="00DF3211">
              <w:rPr>
                <w:sz w:val="18"/>
                <w:szCs w:val="20"/>
              </w:rPr>
              <w:t xml:space="preserve"> </w:t>
            </w:r>
            <w:r w:rsidRPr="00DF3211">
              <w:rPr>
                <w:sz w:val="18"/>
                <w:szCs w:val="20"/>
              </w:rPr>
              <w:t>endocrine therapy.</w:t>
            </w:r>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190BF2FD" w:rsidR="00F369F8" w:rsidRPr="00860375" w:rsidRDefault="00275E1C" w:rsidP="00EB0EEF">
            <w:pPr>
              <w:pStyle w:val="DocumentTitle"/>
              <w:tabs>
                <w:tab w:val="left" w:pos="1074"/>
              </w:tabs>
              <w:spacing w:before="0" w:after="0"/>
              <w:rPr>
                <w:color w:val="FFFFFF" w:themeColor="background1"/>
                <w:sz w:val="18"/>
                <w:szCs w:val="20"/>
              </w:rPr>
            </w:pPr>
            <w:r w:rsidRPr="00860375">
              <w:rPr>
                <w:color w:val="FFFFFF" w:themeColor="background1"/>
                <w:sz w:val="18"/>
                <w:szCs w:val="20"/>
              </w:rPr>
              <w:t>E</w:t>
            </w:r>
            <w:r w:rsidR="00647D2C" w:rsidRPr="00860375">
              <w:rPr>
                <w:color w:val="FFFFFF" w:themeColor="background1"/>
                <w:sz w:val="18"/>
                <w:szCs w:val="20"/>
              </w:rPr>
              <w:t xml:space="preserve">uropean </w:t>
            </w:r>
            <w:r w:rsidRPr="00860375">
              <w:rPr>
                <w:color w:val="FFFFFF" w:themeColor="background1"/>
                <w:sz w:val="18"/>
                <w:szCs w:val="20"/>
              </w:rPr>
              <w:t>M</w:t>
            </w:r>
            <w:r w:rsidR="00647D2C" w:rsidRPr="00860375">
              <w:rPr>
                <w:color w:val="FFFFFF" w:themeColor="background1"/>
                <w:sz w:val="18"/>
                <w:szCs w:val="20"/>
              </w:rPr>
              <w:t xml:space="preserve">edicines </w:t>
            </w:r>
            <w:r w:rsidRPr="00860375">
              <w:rPr>
                <w:color w:val="FFFFFF" w:themeColor="background1"/>
                <w:sz w:val="18"/>
                <w:szCs w:val="20"/>
              </w:rPr>
              <w:t>A</w:t>
            </w:r>
            <w:r w:rsidR="00647D2C" w:rsidRPr="00860375">
              <w:rPr>
                <w:color w:val="FFFFFF" w:themeColor="background1"/>
                <w:sz w:val="18"/>
                <w:szCs w:val="20"/>
              </w:rPr>
              <w:t>gency</w:t>
            </w:r>
            <w:r w:rsidRPr="00860375">
              <w:rPr>
                <w:color w:val="FFFFFF" w:themeColor="background1"/>
                <w:sz w:val="18"/>
                <w:szCs w:val="20"/>
              </w:rPr>
              <w:t xml:space="preserve"> </w:t>
            </w:r>
            <w:r w:rsidR="00716B05" w:rsidRPr="00860375">
              <w:rPr>
                <w:color w:val="FFFFFF" w:themeColor="background1"/>
                <w:sz w:val="18"/>
                <w:szCs w:val="20"/>
              </w:rPr>
              <w:t>S</w:t>
            </w:r>
            <w:r w:rsidRPr="00860375">
              <w:rPr>
                <w:color w:val="FFFFFF" w:themeColor="background1"/>
                <w:sz w:val="18"/>
                <w:szCs w:val="20"/>
              </w:rPr>
              <w:t>tatus</w:t>
            </w:r>
          </w:p>
        </w:tc>
        <w:tc>
          <w:tcPr>
            <w:tcW w:w="3035" w:type="pct"/>
            <w:shd w:val="clear" w:color="auto" w:fill="auto"/>
            <w:tcMar>
              <w:top w:w="29" w:type="dxa"/>
              <w:left w:w="115" w:type="dxa"/>
              <w:bottom w:w="29" w:type="dxa"/>
              <w:right w:w="115" w:type="dxa"/>
            </w:tcMar>
          </w:tcPr>
          <w:p w14:paraId="4D980699" w14:textId="73431C45" w:rsidR="00DF3211" w:rsidRDefault="00DF3211" w:rsidP="00DF3211">
            <w:pPr>
              <w:pStyle w:val="DocumentTitle"/>
              <w:tabs>
                <w:tab w:val="left" w:pos="1074"/>
              </w:tabs>
              <w:spacing w:before="0" w:after="0"/>
              <w:rPr>
                <w:sz w:val="18"/>
                <w:szCs w:val="20"/>
              </w:rPr>
            </w:pPr>
            <w:hyperlink r:id="rId16" w:history="1">
              <w:r w:rsidRPr="00DF3211">
                <w:rPr>
                  <w:rStyle w:val="Hyperlink"/>
                  <w:sz w:val="18"/>
                  <w:szCs w:val="20"/>
                </w:rPr>
                <w:t>August 31, 2017</w:t>
              </w:r>
            </w:hyperlink>
          </w:p>
          <w:p w14:paraId="6CD50002" w14:textId="5EB7D5F5" w:rsidR="00DF3211" w:rsidRPr="00DF3211" w:rsidRDefault="00DF3211" w:rsidP="00DF3211">
            <w:pPr>
              <w:pStyle w:val="DocumentTitle"/>
              <w:tabs>
                <w:tab w:val="left" w:pos="1074"/>
              </w:tabs>
              <w:spacing w:after="0"/>
              <w:rPr>
                <w:sz w:val="18"/>
                <w:szCs w:val="20"/>
              </w:rPr>
            </w:pPr>
            <w:r>
              <w:rPr>
                <w:sz w:val="18"/>
                <w:szCs w:val="20"/>
              </w:rPr>
              <w:t>F</w:t>
            </w:r>
            <w:r w:rsidRPr="00DF3211">
              <w:rPr>
                <w:sz w:val="18"/>
                <w:szCs w:val="20"/>
              </w:rPr>
              <w:t>or the treatment of women with hormone receptor (HR)-positive, human</w:t>
            </w:r>
            <w:r>
              <w:rPr>
                <w:sz w:val="18"/>
                <w:szCs w:val="20"/>
              </w:rPr>
              <w:t xml:space="preserve"> </w:t>
            </w:r>
            <w:r w:rsidRPr="00DF3211">
              <w:rPr>
                <w:sz w:val="18"/>
                <w:szCs w:val="20"/>
              </w:rPr>
              <w:t>epidermal growth factor receptor 2 (HER2)-negative locally advanced or metastatic breast cancer in</w:t>
            </w:r>
            <w:r>
              <w:rPr>
                <w:sz w:val="18"/>
                <w:szCs w:val="20"/>
              </w:rPr>
              <w:t xml:space="preserve"> </w:t>
            </w:r>
            <w:r w:rsidRPr="00DF3211">
              <w:rPr>
                <w:sz w:val="18"/>
                <w:szCs w:val="20"/>
              </w:rPr>
              <w:t xml:space="preserve">combination with an aromatase inhibitor or </w:t>
            </w:r>
            <w:proofErr w:type="spellStart"/>
            <w:r w:rsidRPr="00DF3211">
              <w:rPr>
                <w:sz w:val="18"/>
                <w:szCs w:val="20"/>
              </w:rPr>
              <w:t>fulvestrant</w:t>
            </w:r>
            <w:proofErr w:type="spellEnd"/>
            <w:r w:rsidRPr="00DF3211">
              <w:rPr>
                <w:sz w:val="18"/>
                <w:szCs w:val="20"/>
              </w:rPr>
              <w:t xml:space="preserve"> as initial endocrine-ba</w:t>
            </w:r>
            <w:bookmarkStart w:id="0" w:name="_GoBack"/>
            <w:bookmarkEnd w:id="0"/>
            <w:r w:rsidRPr="00DF3211">
              <w:rPr>
                <w:sz w:val="18"/>
                <w:szCs w:val="20"/>
              </w:rPr>
              <w:t>sed therapy, or in women</w:t>
            </w:r>
            <w:r>
              <w:rPr>
                <w:sz w:val="18"/>
                <w:szCs w:val="20"/>
              </w:rPr>
              <w:t xml:space="preserve"> </w:t>
            </w:r>
            <w:r w:rsidRPr="00DF3211">
              <w:rPr>
                <w:sz w:val="18"/>
                <w:szCs w:val="20"/>
              </w:rPr>
              <w:t>who have received prior endocrine therapy.</w:t>
            </w:r>
          </w:p>
          <w:p w14:paraId="4382D7E4" w14:textId="17D0021C" w:rsidR="00F60A6E" w:rsidRPr="00DF3211" w:rsidRDefault="00DF3211" w:rsidP="00DF3211">
            <w:pPr>
              <w:pStyle w:val="DocumentTitle"/>
              <w:tabs>
                <w:tab w:val="left" w:pos="1074"/>
              </w:tabs>
              <w:spacing w:after="0"/>
              <w:rPr>
                <w:sz w:val="18"/>
                <w:szCs w:val="20"/>
              </w:rPr>
            </w:pPr>
            <w:r w:rsidRPr="00DF3211">
              <w:rPr>
                <w:sz w:val="18"/>
                <w:szCs w:val="20"/>
              </w:rPr>
              <w:t>In pre- or perimenopausal women, the endocrine therapy should be combined with a luteinising</w:t>
            </w:r>
            <w:r>
              <w:rPr>
                <w:sz w:val="18"/>
                <w:szCs w:val="20"/>
              </w:rPr>
              <w:t xml:space="preserve"> </w:t>
            </w:r>
            <w:r w:rsidRPr="00DF3211">
              <w:rPr>
                <w:sz w:val="18"/>
                <w:szCs w:val="20"/>
              </w:rPr>
              <w:t>hormone-releasing hormone (LHRH) agonist.</w:t>
            </w:r>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7849F4F4" w:rsidR="003100FC" w:rsidRPr="003920FE" w:rsidRDefault="003100FC" w:rsidP="00EB0EEF">
            <w:pPr>
              <w:pStyle w:val="DocumentTitle"/>
              <w:tabs>
                <w:tab w:val="left" w:pos="1074"/>
              </w:tabs>
              <w:spacing w:before="0" w:after="0"/>
              <w:rPr>
                <w:color w:val="FFFFFF" w:themeColor="background1"/>
                <w:sz w:val="18"/>
                <w:szCs w:val="20"/>
              </w:rPr>
            </w:pPr>
            <w:r w:rsidRPr="003920FE">
              <w:rPr>
                <w:color w:val="FFFFFF" w:themeColor="background1"/>
                <w:sz w:val="18"/>
                <w:szCs w:val="20"/>
              </w:rPr>
              <w:t xml:space="preserve">Practice </w:t>
            </w:r>
            <w:proofErr w:type="spellStart"/>
            <w:r w:rsidRPr="003920FE">
              <w:rPr>
                <w:color w:val="FFFFFF" w:themeColor="background1"/>
                <w:sz w:val="18"/>
                <w:szCs w:val="20"/>
              </w:rPr>
              <w:t>Guidelines</w:t>
            </w:r>
            <w:r w:rsidR="00D47251" w:rsidRPr="003920FE">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12D271F5" w14:textId="3BAE212E" w:rsidR="000635BE" w:rsidRPr="003920FE" w:rsidRDefault="003920FE" w:rsidP="00860375">
            <w:pPr>
              <w:pStyle w:val="DocumentTitle"/>
              <w:tabs>
                <w:tab w:val="left" w:pos="1074"/>
              </w:tabs>
              <w:spacing w:before="0" w:after="0"/>
              <w:rPr>
                <w:sz w:val="18"/>
                <w:szCs w:val="20"/>
              </w:rPr>
            </w:pPr>
            <w:hyperlink r:id="rId17" w:history="1">
              <w:r w:rsidRPr="003920FE">
                <w:rPr>
                  <w:rStyle w:val="Hyperlink"/>
                  <w:sz w:val="18"/>
                  <w:szCs w:val="20"/>
                </w:rPr>
                <w:t xml:space="preserve">NCCN Guidelines for Breast </w:t>
              </w:r>
              <w:r w:rsidRPr="003920FE">
                <w:rPr>
                  <w:rStyle w:val="Hyperlink"/>
                  <w:sz w:val="18"/>
                  <w:szCs w:val="20"/>
                </w:rPr>
                <w:t>C</w:t>
              </w:r>
              <w:r w:rsidRPr="003920FE">
                <w:rPr>
                  <w:rStyle w:val="Hyperlink"/>
                  <w:sz w:val="18"/>
                  <w:szCs w:val="20"/>
                </w:rPr>
                <w:t>ancer.</w:t>
              </w:r>
            </w:hyperlink>
          </w:p>
          <w:p w14:paraId="1A662394" w14:textId="77777777" w:rsidR="003920FE" w:rsidRPr="003920FE" w:rsidRDefault="003920FE" w:rsidP="00860375">
            <w:pPr>
              <w:pStyle w:val="DocumentTitle"/>
              <w:tabs>
                <w:tab w:val="left" w:pos="1074"/>
              </w:tabs>
              <w:spacing w:before="0" w:after="0"/>
              <w:rPr>
                <w:sz w:val="18"/>
                <w:szCs w:val="20"/>
              </w:rPr>
            </w:pPr>
          </w:p>
          <w:p w14:paraId="17E99E46" w14:textId="5AD62728" w:rsidR="000635BE" w:rsidRPr="003920FE" w:rsidRDefault="003920FE" w:rsidP="003920FE">
            <w:pPr>
              <w:pStyle w:val="DocumentTitle"/>
              <w:tabs>
                <w:tab w:val="left" w:pos="1074"/>
              </w:tabs>
              <w:spacing w:before="0" w:after="0"/>
              <w:rPr>
                <w:sz w:val="18"/>
                <w:szCs w:val="18"/>
              </w:rPr>
            </w:pPr>
            <w:r w:rsidRPr="003920FE">
              <w:rPr>
                <w:sz w:val="18"/>
                <w:szCs w:val="20"/>
              </w:rPr>
              <w:t>4th ESO–ESMO International Consensus Guidelines for Advanced Breast Cancer (ABC 4)</w:t>
            </w:r>
            <w:r w:rsidRPr="003920FE">
              <w:rPr>
                <w:sz w:val="18"/>
                <w:szCs w:val="18"/>
              </w:rPr>
              <w:t xml:space="preserve">. </w:t>
            </w:r>
            <w:hyperlink r:id="rId18" w:history="1">
              <w:r w:rsidRPr="003920FE">
                <w:rPr>
                  <w:rStyle w:val="Hyperlink"/>
                  <w:sz w:val="18"/>
                  <w:szCs w:val="18"/>
                </w:rPr>
                <w:t>Ann Oncol (201</w:t>
              </w:r>
              <w:r w:rsidRPr="003920FE">
                <w:rPr>
                  <w:rStyle w:val="Hyperlink"/>
                  <w:sz w:val="18"/>
                  <w:szCs w:val="18"/>
                </w:rPr>
                <w:t>8</w:t>
              </w:r>
              <w:r w:rsidRPr="003920FE">
                <w:rPr>
                  <w:rStyle w:val="Hyperlink"/>
                  <w:sz w:val="18"/>
                  <w:szCs w:val="18"/>
                </w:rPr>
                <w:t>); 29: 1634–1657</w:t>
              </w:r>
            </w:hyperlink>
            <w:r w:rsidRPr="003920FE">
              <w:rPr>
                <w:sz w:val="18"/>
                <w:szCs w:val="18"/>
              </w:rPr>
              <w:t xml:space="preserve"> </w:t>
            </w:r>
          </w:p>
        </w:tc>
      </w:tr>
      <w:tr w:rsidR="00420EEA" w:rsidRPr="00EB0EEF" w14:paraId="5A5541E3" w14:textId="77777777" w:rsidTr="00F60A6E">
        <w:trPr>
          <w:trHeight w:val="534"/>
        </w:trPr>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633A3342" w:rsidR="00420EEA" w:rsidRPr="00912B81" w:rsidRDefault="00420EEA" w:rsidP="00EB0EEF">
            <w:pPr>
              <w:pStyle w:val="DocumentTitle"/>
              <w:tabs>
                <w:tab w:val="left" w:pos="1074"/>
              </w:tabs>
              <w:spacing w:before="0" w:after="0"/>
              <w:rPr>
                <w:color w:val="FFFFFF" w:themeColor="background1"/>
                <w:sz w:val="18"/>
                <w:szCs w:val="20"/>
              </w:rPr>
            </w:pPr>
            <w:r w:rsidRPr="00912B81">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1B2F0E02" w14:textId="77777777" w:rsidR="000635BE" w:rsidRDefault="008F2C64" w:rsidP="000635BE">
            <w:pPr>
              <w:pStyle w:val="DocumentTitle"/>
              <w:tabs>
                <w:tab w:val="left" w:pos="1074"/>
              </w:tabs>
              <w:spacing w:after="0"/>
              <w:rPr>
                <w:sz w:val="18"/>
                <w:szCs w:val="18"/>
              </w:rPr>
            </w:pPr>
            <w:r w:rsidRPr="008F2C64">
              <w:rPr>
                <w:sz w:val="18"/>
                <w:szCs w:val="18"/>
              </w:rPr>
              <w:t xml:space="preserve">Various aromatase inhibitors are available for initial treatment of advanced or metastatic disease in HR positive, HER-2 negative breast cancer. These include anastrozole, exemestane and letrozole.  </w:t>
            </w:r>
            <w:proofErr w:type="spellStart"/>
            <w:r w:rsidRPr="008F2C64">
              <w:rPr>
                <w:sz w:val="18"/>
                <w:szCs w:val="18"/>
              </w:rPr>
              <w:t>Palbociclib</w:t>
            </w:r>
            <w:proofErr w:type="spellEnd"/>
            <w:r w:rsidRPr="008F2C64">
              <w:rPr>
                <w:sz w:val="18"/>
                <w:szCs w:val="18"/>
              </w:rPr>
              <w:t xml:space="preserve"> plus letrozole is also available in almost all jurisdictions while </w:t>
            </w:r>
            <w:proofErr w:type="spellStart"/>
            <w:r w:rsidRPr="008F2C64">
              <w:rPr>
                <w:sz w:val="18"/>
                <w:szCs w:val="18"/>
              </w:rPr>
              <w:t>ribociclib</w:t>
            </w:r>
            <w:proofErr w:type="spellEnd"/>
            <w:r w:rsidRPr="008F2C64">
              <w:rPr>
                <w:sz w:val="18"/>
                <w:szCs w:val="18"/>
              </w:rPr>
              <w:t xml:space="preserve"> (in combination with letrozole) as an initial endocrine-based therapy is under provincial consideration. </w:t>
            </w:r>
            <w:proofErr w:type="spellStart"/>
            <w:r w:rsidRPr="008F2C64">
              <w:rPr>
                <w:sz w:val="18"/>
                <w:szCs w:val="18"/>
              </w:rPr>
              <w:t>Abemaciclib</w:t>
            </w:r>
            <w:proofErr w:type="spellEnd"/>
            <w:r w:rsidRPr="008F2C64">
              <w:rPr>
                <w:sz w:val="18"/>
                <w:szCs w:val="18"/>
              </w:rPr>
              <w:t xml:space="preserve"> in combination with an aromatase inhibitor or </w:t>
            </w:r>
            <w:proofErr w:type="spellStart"/>
            <w:r w:rsidRPr="008F2C64">
              <w:rPr>
                <w:sz w:val="18"/>
                <w:szCs w:val="18"/>
              </w:rPr>
              <w:t>fulvestrant</w:t>
            </w:r>
            <w:proofErr w:type="spellEnd"/>
            <w:r w:rsidRPr="008F2C64">
              <w:rPr>
                <w:sz w:val="18"/>
                <w:szCs w:val="18"/>
              </w:rPr>
              <w:t xml:space="preserve"> was also recently reviewed at </w:t>
            </w:r>
            <w:proofErr w:type="spellStart"/>
            <w:r w:rsidRPr="008F2C64">
              <w:rPr>
                <w:sz w:val="18"/>
                <w:szCs w:val="18"/>
              </w:rPr>
              <w:t>pCODR</w:t>
            </w:r>
            <w:proofErr w:type="spellEnd"/>
            <w:r w:rsidRPr="008F2C64">
              <w:rPr>
                <w:sz w:val="18"/>
                <w:szCs w:val="18"/>
              </w:rPr>
              <w:t xml:space="preserve"> and received positive conditional reimbursement recommendations.</w:t>
            </w:r>
          </w:p>
          <w:p w14:paraId="09ECBE82" w14:textId="63E3EEC0" w:rsidR="00285553" w:rsidRPr="008F2C64" w:rsidRDefault="00285553" w:rsidP="000635BE">
            <w:pPr>
              <w:pStyle w:val="DocumentTitle"/>
              <w:tabs>
                <w:tab w:val="left" w:pos="1074"/>
              </w:tabs>
              <w:spacing w:after="0"/>
              <w:rPr>
                <w:color w:val="C00000"/>
                <w:sz w:val="18"/>
                <w:szCs w:val="18"/>
                <w:highlight w:val="yellow"/>
              </w:rPr>
            </w:pPr>
            <w:r w:rsidRPr="0013642F">
              <w:rPr>
                <w:sz w:val="18"/>
                <w:szCs w:val="18"/>
              </w:rPr>
              <w:t xml:space="preserve">See Appendix B – Provincial Funding of Treatments for </w:t>
            </w:r>
            <w:proofErr w:type="spellStart"/>
            <w:r>
              <w:rPr>
                <w:sz w:val="18"/>
                <w:szCs w:val="18"/>
              </w:rPr>
              <w:t>Metastaitc</w:t>
            </w:r>
            <w:proofErr w:type="spellEnd"/>
            <w:r>
              <w:rPr>
                <w:sz w:val="18"/>
                <w:szCs w:val="18"/>
              </w:rPr>
              <w:t xml:space="preserve"> Breast Cancer</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1" w:name="_Toc291572531"/>
      <w:bookmarkStart w:id="2"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1"/>
      <w:bookmarkEnd w:id="2"/>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3" w:name="_Toc439923597"/>
      <w:bookmarkStart w:id="4"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3"/>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DC1F283" w14:textId="77777777" w:rsidR="000635BE" w:rsidRDefault="002428F1" w:rsidP="000635BE">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p w14:paraId="6AB8CF79" w14:textId="14A61F6D" w:rsidR="000635BE" w:rsidRPr="00285553" w:rsidRDefault="000635BE" w:rsidP="00285553">
      <w:pPr>
        <w:pStyle w:val="ListParagraph"/>
        <w:numPr>
          <w:ilvl w:val="0"/>
          <w:numId w:val="41"/>
        </w:numPr>
        <w:rPr>
          <w:rFonts w:ascii="Arial" w:eastAsia="Times New Roman" w:hAnsi="Arial" w:cs="Arial"/>
          <w:b/>
          <w:sz w:val="18"/>
          <w:szCs w:val="18"/>
        </w:rPr>
      </w:pPr>
      <w:r w:rsidRPr="00285553">
        <w:rPr>
          <w:rFonts w:ascii="Arial" w:hAnsi="Arial" w:cs="Arial"/>
          <w:b/>
          <w:sz w:val="18"/>
        </w:rPr>
        <w:t xml:space="preserve">Implementation </w:t>
      </w:r>
      <w:r w:rsidRPr="00285553">
        <w:rPr>
          <w:rFonts w:ascii="Arial" w:hAnsi="Arial" w:cs="Arial"/>
          <w:b/>
          <w:sz w:val="18"/>
          <w:szCs w:val="18"/>
        </w:rPr>
        <w:t xml:space="preserve">Questions: </w:t>
      </w:r>
      <w:r w:rsidR="00285553" w:rsidRPr="00285553">
        <w:rPr>
          <w:rFonts w:ascii="Arial" w:eastAsia="Times New Roman" w:hAnsi="Arial" w:cs="Arial"/>
          <w:b/>
          <w:sz w:val="18"/>
          <w:szCs w:val="18"/>
        </w:rPr>
        <w:t xml:space="preserve">The eligibility criteria for the MONALEESA 7 trial included a specific patient population compared to the broader funding request. In clinical practice, is there evidence to extend the use of </w:t>
      </w:r>
      <w:proofErr w:type="spellStart"/>
      <w:r w:rsidR="00285553" w:rsidRPr="00285553">
        <w:rPr>
          <w:rFonts w:ascii="Arial" w:eastAsia="Times New Roman" w:hAnsi="Arial" w:cs="Arial"/>
          <w:b/>
          <w:sz w:val="18"/>
          <w:szCs w:val="18"/>
        </w:rPr>
        <w:t>ribociclib</w:t>
      </w:r>
      <w:proofErr w:type="spellEnd"/>
      <w:r w:rsidR="00285553" w:rsidRPr="00285553">
        <w:rPr>
          <w:rFonts w:ascii="Arial" w:eastAsia="Times New Roman" w:hAnsi="Arial" w:cs="Arial"/>
          <w:b/>
          <w:sz w:val="18"/>
          <w:szCs w:val="18"/>
        </w:rPr>
        <w:t xml:space="preserve"> plus an aromatase inhibitor to (provided all other eligibility criteria are met):</w:t>
      </w:r>
    </w:p>
    <w:p w14:paraId="1A18807A" w14:textId="77777777" w:rsidR="00285553" w:rsidRPr="00285553" w:rsidRDefault="00285553" w:rsidP="00285553">
      <w:pPr>
        <w:pStyle w:val="ListParagraph"/>
        <w:numPr>
          <w:ilvl w:val="1"/>
          <w:numId w:val="41"/>
        </w:numPr>
        <w:rPr>
          <w:rFonts w:ascii="Arial" w:eastAsia="Times New Roman" w:hAnsi="Arial" w:cs="Arial"/>
          <w:b/>
          <w:sz w:val="18"/>
          <w:szCs w:val="18"/>
        </w:rPr>
      </w:pPr>
      <w:r w:rsidRPr="00285553">
        <w:rPr>
          <w:rFonts w:ascii="Arial" w:eastAsia="Times New Roman" w:hAnsi="Arial" w:cs="Arial"/>
          <w:b/>
          <w:sz w:val="18"/>
          <w:szCs w:val="18"/>
        </w:rPr>
        <w:t>HER-2 positive breast cancer (e.g., HR positive, HER-2 positive metastatic breast cancer who are not eligible for further anti-HER2 treatments)</w:t>
      </w:r>
    </w:p>
    <w:p w14:paraId="39059AF8" w14:textId="77777777" w:rsidR="00285553" w:rsidRPr="00285553" w:rsidRDefault="00285553" w:rsidP="00285553">
      <w:pPr>
        <w:pStyle w:val="ListParagraph"/>
        <w:numPr>
          <w:ilvl w:val="1"/>
          <w:numId w:val="41"/>
        </w:numPr>
        <w:rPr>
          <w:rFonts w:ascii="Arial" w:eastAsia="Times New Roman" w:hAnsi="Arial" w:cs="Arial"/>
          <w:b/>
          <w:sz w:val="18"/>
          <w:szCs w:val="18"/>
        </w:rPr>
      </w:pPr>
      <w:r w:rsidRPr="00285553">
        <w:rPr>
          <w:rFonts w:ascii="Arial" w:eastAsia="Times New Roman" w:hAnsi="Arial" w:cs="Arial"/>
          <w:b/>
          <w:sz w:val="18"/>
          <w:szCs w:val="18"/>
        </w:rPr>
        <w:t>Male breast cancer</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4"/>
    <w:p w14:paraId="6BF7B1E6" w14:textId="4E556BF7"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DF3211"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 xml:space="preserve">cientific published references are not required, as </w:t>
      </w:r>
      <w:proofErr w:type="spellStart"/>
      <w:r w:rsidR="00DC6E49" w:rsidRPr="00EB0EEF">
        <w:rPr>
          <w:rFonts w:ascii="Arial" w:hAnsi="Arial" w:cs="Arial"/>
          <w:sz w:val="18"/>
        </w:rPr>
        <w:t>pCODR</w:t>
      </w:r>
      <w:proofErr w:type="spellEnd"/>
      <w:r w:rsidR="00DC6E49" w:rsidRPr="00EB0EEF">
        <w:rPr>
          <w:rFonts w:ascii="Arial" w:hAnsi="Arial" w:cs="Arial"/>
          <w:sz w:val="18"/>
        </w:rPr>
        <w:t xml:space="preserve">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0A56A6" w:rsidRDefault="00C31270" w:rsidP="00EB0EEF">
      <w:pPr>
        <w:pStyle w:val="Heading2"/>
        <w:tabs>
          <w:tab w:val="clear" w:pos="0"/>
          <w:tab w:val="clear" w:pos="720"/>
        </w:tabs>
        <w:spacing w:before="240" w:after="120"/>
        <w:ind w:left="994" w:hanging="576"/>
        <w:rPr>
          <w:rFonts w:ascii="Arial" w:hAnsi="Arial" w:cs="Arial"/>
          <w:spacing w:val="0"/>
          <w:sz w:val="18"/>
        </w:rPr>
      </w:pPr>
      <w:bookmarkStart w:id="5" w:name="_Toc291572533"/>
      <w:r w:rsidRPr="00EB0EEF">
        <w:rPr>
          <w:rFonts w:ascii="Arial" w:hAnsi="Arial" w:cs="Arial"/>
          <w:spacing w:val="0"/>
          <w:sz w:val="18"/>
        </w:rPr>
        <w:t xml:space="preserve">  </w:t>
      </w:r>
      <w:bookmarkStart w:id="6" w:name="_Toc439923600"/>
      <w:bookmarkEnd w:id="5"/>
      <w:r w:rsidR="00D03AC9" w:rsidRPr="000A56A6">
        <w:rPr>
          <w:rFonts w:ascii="Arial" w:hAnsi="Arial" w:cs="Arial"/>
          <w:spacing w:val="0"/>
          <w:sz w:val="18"/>
        </w:rPr>
        <w:t>3</w:t>
      </w:r>
      <w:r w:rsidR="00F51ECF" w:rsidRPr="000A56A6">
        <w:rPr>
          <w:rFonts w:ascii="Arial" w:hAnsi="Arial" w:cs="Arial"/>
          <w:spacing w:val="0"/>
          <w:sz w:val="18"/>
        </w:rPr>
        <w:t>.</w:t>
      </w:r>
      <w:r w:rsidR="009001C3" w:rsidRPr="000A56A6">
        <w:rPr>
          <w:rFonts w:ascii="Arial" w:hAnsi="Arial" w:cs="Arial"/>
          <w:spacing w:val="0"/>
          <w:sz w:val="18"/>
        </w:rPr>
        <w:t>4</w:t>
      </w:r>
      <w:r w:rsidR="00F51ECF" w:rsidRPr="000A56A6">
        <w:rPr>
          <w:rFonts w:ascii="Arial" w:hAnsi="Arial" w:cs="Arial"/>
          <w:spacing w:val="0"/>
          <w:sz w:val="18"/>
        </w:rPr>
        <w:t xml:space="preserve"> </w:t>
      </w:r>
      <w:r w:rsidR="00EB0EEF" w:rsidRPr="000A56A6">
        <w:rPr>
          <w:rFonts w:ascii="Arial" w:hAnsi="Arial" w:cs="Arial"/>
          <w:spacing w:val="0"/>
          <w:sz w:val="18"/>
        </w:rPr>
        <w:tab/>
      </w:r>
      <w:r w:rsidR="00E14476" w:rsidRPr="000A56A6">
        <w:rPr>
          <w:rFonts w:ascii="Arial" w:hAnsi="Arial" w:cs="Arial"/>
          <w:spacing w:val="0"/>
          <w:sz w:val="18"/>
        </w:rPr>
        <w:t xml:space="preserve">Sequencing </w:t>
      </w:r>
      <w:r w:rsidR="00E542BC" w:rsidRPr="000A56A6">
        <w:rPr>
          <w:rFonts w:ascii="Arial" w:hAnsi="Arial" w:cs="Arial"/>
          <w:spacing w:val="0"/>
          <w:sz w:val="18"/>
        </w:rPr>
        <w:t xml:space="preserve">and Priority </w:t>
      </w:r>
      <w:r w:rsidR="00E14476" w:rsidRPr="000A56A6">
        <w:rPr>
          <w:rFonts w:ascii="Arial" w:hAnsi="Arial" w:cs="Arial"/>
          <w:spacing w:val="0"/>
          <w:sz w:val="18"/>
        </w:rPr>
        <w:t>of T</w:t>
      </w:r>
      <w:r w:rsidR="0073015B" w:rsidRPr="000A56A6">
        <w:rPr>
          <w:rFonts w:ascii="Arial" w:hAnsi="Arial" w:cs="Arial"/>
          <w:spacing w:val="0"/>
          <w:sz w:val="18"/>
        </w:rPr>
        <w:t>reatments</w:t>
      </w:r>
      <w:bookmarkEnd w:id="6"/>
    </w:p>
    <w:p w14:paraId="392BA83B" w14:textId="74A9A84B" w:rsidR="007F0BD8" w:rsidRPr="000A56A6" w:rsidRDefault="0073015B" w:rsidP="000028EA">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 xml:space="preserve">Please describe how the new </w:t>
      </w:r>
      <w:r w:rsidR="004A4987" w:rsidRPr="000A56A6">
        <w:rPr>
          <w:rFonts w:ascii="Arial" w:hAnsi="Arial" w:cs="Arial"/>
          <w:sz w:val="18"/>
        </w:rPr>
        <w:t>treatment</w:t>
      </w:r>
      <w:r w:rsidRPr="000A56A6">
        <w:rPr>
          <w:rFonts w:ascii="Arial" w:hAnsi="Arial" w:cs="Arial"/>
          <w:sz w:val="18"/>
        </w:rPr>
        <w:t xml:space="preserve"> could be sequenced with current </w:t>
      </w:r>
      <w:r w:rsidR="003665AC" w:rsidRPr="000A56A6">
        <w:rPr>
          <w:rFonts w:ascii="Arial" w:hAnsi="Arial" w:cs="Arial"/>
          <w:sz w:val="18"/>
        </w:rPr>
        <w:t>treatment(s)</w:t>
      </w:r>
      <w:r w:rsidRPr="000A56A6">
        <w:rPr>
          <w:rFonts w:ascii="Arial" w:hAnsi="Arial" w:cs="Arial"/>
          <w:sz w:val="18"/>
        </w:rPr>
        <w:t>, if appropriate.</w:t>
      </w:r>
    </w:p>
    <w:p w14:paraId="1ABA87E1" w14:textId="18C45C7B" w:rsidR="00642187" w:rsidRPr="000A56A6" w:rsidRDefault="00642187" w:rsidP="000028EA">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 xml:space="preserve">In your opinion, </w:t>
      </w:r>
      <w:r w:rsidR="00557689" w:rsidRPr="000A56A6">
        <w:rPr>
          <w:rFonts w:ascii="Arial" w:hAnsi="Arial" w:cs="Arial"/>
          <w:sz w:val="18"/>
        </w:rPr>
        <w:t>in the event that</w:t>
      </w:r>
      <w:r w:rsidRPr="000A56A6">
        <w:rPr>
          <w:rFonts w:ascii="Arial" w:hAnsi="Arial" w:cs="Arial"/>
          <w:sz w:val="18"/>
        </w:rPr>
        <w:t xml:space="preserve"> the drug under review becomes available for funding </w:t>
      </w:r>
      <w:r w:rsidR="00557689" w:rsidRPr="000A56A6">
        <w:rPr>
          <w:rFonts w:ascii="Arial" w:hAnsi="Arial" w:cs="Arial"/>
          <w:sz w:val="18"/>
        </w:rPr>
        <w:t xml:space="preserve">in your jurisdiction, would the new </w:t>
      </w:r>
      <w:r w:rsidR="003665AC" w:rsidRPr="000A56A6">
        <w:rPr>
          <w:rFonts w:ascii="Arial" w:hAnsi="Arial" w:cs="Arial"/>
          <w:sz w:val="18"/>
        </w:rPr>
        <w:t>treatment be a replacement of current treatment(s) or an</w:t>
      </w:r>
      <w:r w:rsidR="006B2DFA" w:rsidRPr="000A56A6">
        <w:rPr>
          <w:rFonts w:ascii="Arial" w:hAnsi="Arial" w:cs="Arial"/>
          <w:sz w:val="18"/>
        </w:rPr>
        <w:t>other</w:t>
      </w:r>
      <w:r w:rsidR="003665AC" w:rsidRPr="000A56A6">
        <w:rPr>
          <w:rFonts w:ascii="Arial" w:hAnsi="Arial" w:cs="Arial"/>
          <w:sz w:val="18"/>
        </w:rPr>
        <w:t xml:space="preserve"> option?</w:t>
      </w:r>
    </w:p>
    <w:p w14:paraId="5AC6A087" w14:textId="0D1245C1" w:rsidR="000635BE" w:rsidRPr="00285553" w:rsidRDefault="004747F6" w:rsidP="00285553">
      <w:pPr>
        <w:pStyle w:val="ListParagraph"/>
        <w:numPr>
          <w:ilvl w:val="0"/>
          <w:numId w:val="42"/>
        </w:numPr>
        <w:rPr>
          <w:rFonts w:ascii="Arial" w:eastAsia="Times New Roman" w:hAnsi="Arial" w:cs="Arial"/>
          <w:b/>
          <w:sz w:val="18"/>
          <w:szCs w:val="18"/>
        </w:rPr>
      </w:pPr>
      <w:r w:rsidRPr="00285553">
        <w:rPr>
          <w:rFonts w:ascii="Arial" w:hAnsi="Arial" w:cs="Arial"/>
          <w:b/>
          <w:sz w:val="18"/>
        </w:rPr>
        <w:t xml:space="preserve">Implementation </w:t>
      </w:r>
      <w:r w:rsidRPr="00285553">
        <w:rPr>
          <w:rFonts w:ascii="Arial" w:hAnsi="Arial" w:cs="Arial"/>
          <w:b/>
          <w:sz w:val="18"/>
          <w:szCs w:val="18"/>
        </w:rPr>
        <w:t>Question</w:t>
      </w:r>
      <w:r w:rsidR="000635BE" w:rsidRPr="00285553">
        <w:rPr>
          <w:rFonts w:ascii="Arial" w:hAnsi="Arial" w:cs="Arial"/>
          <w:b/>
          <w:sz w:val="18"/>
          <w:szCs w:val="18"/>
        </w:rPr>
        <w:t>s</w:t>
      </w:r>
      <w:r w:rsidRPr="00285553">
        <w:rPr>
          <w:rFonts w:ascii="Arial" w:hAnsi="Arial" w:cs="Arial"/>
          <w:b/>
          <w:sz w:val="18"/>
          <w:szCs w:val="18"/>
        </w:rPr>
        <w:t>:</w:t>
      </w:r>
      <w:r w:rsidR="00F60A6E" w:rsidRPr="00285553">
        <w:rPr>
          <w:rFonts w:ascii="Arial" w:hAnsi="Arial" w:cs="Arial"/>
          <w:b/>
          <w:sz w:val="18"/>
          <w:szCs w:val="18"/>
        </w:rPr>
        <w:t xml:space="preserve"> </w:t>
      </w:r>
      <w:r w:rsidR="00285553" w:rsidRPr="00285553">
        <w:rPr>
          <w:rFonts w:ascii="Arial" w:eastAsia="Times New Roman" w:hAnsi="Arial" w:cs="Arial"/>
          <w:b/>
          <w:sz w:val="18"/>
          <w:szCs w:val="18"/>
        </w:rPr>
        <w:t xml:space="preserve">Please consider if there is evidence to support the optimal sequencing of treatment for patients with HR positive HER2-negative breast cancer. In clinical practice, if </w:t>
      </w:r>
      <w:proofErr w:type="spellStart"/>
      <w:r w:rsidR="00285553" w:rsidRPr="00285553">
        <w:rPr>
          <w:rFonts w:ascii="Arial" w:eastAsia="Times New Roman" w:hAnsi="Arial" w:cs="Arial"/>
          <w:b/>
          <w:sz w:val="18"/>
          <w:szCs w:val="18"/>
        </w:rPr>
        <w:t>ribociclib</w:t>
      </w:r>
      <w:proofErr w:type="spellEnd"/>
      <w:r w:rsidR="00285553" w:rsidRPr="00285553">
        <w:rPr>
          <w:rFonts w:ascii="Arial" w:eastAsia="Times New Roman" w:hAnsi="Arial" w:cs="Arial"/>
          <w:b/>
          <w:sz w:val="18"/>
          <w:szCs w:val="18"/>
        </w:rPr>
        <w:t xml:space="preserve"> plus an aromatase inhibitor was available,</w:t>
      </w:r>
    </w:p>
    <w:p w14:paraId="258F4037" w14:textId="77777777" w:rsidR="00285553" w:rsidRPr="00285553" w:rsidRDefault="00285553" w:rsidP="00285553">
      <w:pPr>
        <w:pStyle w:val="ListParagraph"/>
        <w:numPr>
          <w:ilvl w:val="1"/>
          <w:numId w:val="42"/>
        </w:numPr>
        <w:rPr>
          <w:rFonts w:ascii="Arial" w:eastAsia="Times New Roman" w:hAnsi="Arial" w:cs="Arial"/>
          <w:b/>
          <w:sz w:val="18"/>
          <w:szCs w:val="18"/>
        </w:rPr>
      </w:pPr>
      <w:r w:rsidRPr="00285553">
        <w:rPr>
          <w:rFonts w:ascii="Arial" w:eastAsia="Times New Roman" w:hAnsi="Arial" w:cs="Arial"/>
          <w:b/>
          <w:sz w:val="18"/>
          <w:szCs w:val="18"/>
        </w:rPr>
        <w:t xml:space="preserve">In what clinical scenarios would </w:t>
      </w:r>
      <w:proofErr w:type="spellStart"/>
      <w:r w:rsidRPr="00285553">
        <w:rPr>
          <w:rFonts w:ascii="Arial" w:eastAsia="Times New Roman" w:hAnsi="Arial" w:cs="Arial"/>
          <w:b/>
          <w:sz w:val="18"/>
          <w:szCs w:val="18"/>
        </w:rPr>
        <w:t>ribociclib</w:t>
      </w:r>
      <w:proofErr w:type="spellEnd"/>
      <w:r w:rsidRPr="00285553">
        <w:rPr>
          <w:rFonts w:ascii="Arial" w:eastAsia="Times New Roman" w:hAnsi="Arial" w:cs="Arial"/>
          <w:b/>
          <w:sz w:val="18"/>
          <w:szCs w:val="18"/>
        </w:rPr>
        <w:t xml:space="preserve"> or </w:t>
      </w:r>
      <w:proofErr w:type="spellStart"/>
      <w:r w:rsidRPr="00285553">
        <w:rPr>
          <w:rFonts w:ascii="Arial" w:eastAsia="Times New Roman" w:hAnsi="Arial" w:cs="Arial"/>
          <w:b/>
          <w:sz w:val="18"/>
          <w:szCs w:val="18"/>
        </w:rPr>
        <w:t>abemaciclib</w:t>
      </w:r>
      <w:proofErr w:type="spellEnd"/>
      <w:r w:rsidRPr="00285553">
        <w:rPr>
          <w:rFonts w:ascii="Arial" w:eastAsia="Times New Roman" w:hAnsi="Arial" w:cs="Arial"/>
          <w:b/>
          <w:sz w:val="18"/>
          <w:szCs w:val="18"/>
        </w:rPr>
        <w:t xml:space="preserve"> or </w:t>
      </w:r>
      <w:proofErr w:type="spellStart"/>
      <w:r w:rsidRPr="00285553">
        <w:rPr>
          <w:rFonts w:ascii="Arial" w:eastAsia="Times New Roman" w:hAnsi="Arial" w:cs="Arial"/>
          <w:b/>
          <w:sz w:val="18"/>
          <w:szCs w:val="18"/>
        </w:rPr>
        <w:t>palbociclib</w:t>
      </w:r>
      <w:proofErr w:type="spellEnd"/>
      <w:r w:rsidRPr="00285553">
        <w:rPr>
          <w:rFonts w:ascii="Arial" w:eastAsia="Times New Roman" w:hAnsi="Arial" w:cs="Arial"/>
          <w:b/>
          <w:sz w:val="18"/>
          <w:szCs w:val="18"/>
        </w:rPr>
        <w:t xml:space="preserve"> be the preferred treatment in the endocrine-naïve setting? Please comment on the preference considering patient preference, efficacy, safety, and administration.</w:t>
      </w:r>
    </w:p>
    <w:p w14:paraId="039F3B0D" w14:textId="77777777" w:rsidR="00285553" w:rsidRPr="00285553" w:rsidRDefault="00285553" w:rsidP="00285553">
      <w:pPr>
        <w:pStyle w:val="ListParagraph"/>
        <w:numPr>
          <w:ilvl w:val="1"/>
          <w:numId w:val="42"/>
        </w:numPr>
        <w:rPr>
          <w:rFonts w:ascii="Arial" w:eastAsia="Times New Roman" w:hAnsi="Arial" w:cs="Arial"/>
          <w:b/>
          <w:sz w:val="18"/>
          <w:szCs w:val="18"/>
        </w:rPr>
      </w:pPr>
      <w:r w:rsidRPr="00285553">
        <w:rPr>
          <w:rFonts w:ascii="Arial" w:eastAsia="Times New Roman" w:hAnsi="Arial" w:cs="Arial"/>
          <w:b/>
          <w:sz w:val="18"/>
          <w:szCs w:val="18"/>
        </w:rPr>
        <w:t xml:space="preserve">In what clinical scenarios would </w:t>
      </w:r>
      <w:proofErr w:type="spellStart"/>
      <w:r w:rsidRPr="00285553">
        <w:rPr>
          <w:rFonts w:ascii="Arial" w:eastAsia="Times New Roman" w:hAnsi="Arial" w:cs="Arial"/>
          <w:b/>
          <w:sz w:val="18"/>
          <w:szCs w:val="18"/>
        </w:rPr>
        <w:t>ribociclib</w:t>
      </w:r>
      <w:proofErr w:type="spellEnd"/>
      <w:r w:rsidRPr="00285553">
        <w:rPr>
          <w:rFonts w:ascii="Arial" w:eastAsia="Times New Roman" w:hAnsi="Arial" w:cs="Arial"/>
          <w:b/>
          <w:sz w:val="18"/>
          <w:szCs w:val="18"/>
        </w:rPr>
        <w:t xml:space="preserve"> plus an aromatase inhibitor versus </w:t>
      </w:r>
      <w:proofErr w:type="spellStart"/>
      <w:r w:rsidRPr="00285553">
        <w:rPr>
          <w:rFonts w:ascii="Arial" w:eastAsia="Times New Roman" w:hAnsi="Arial" w:cs="Arial"/>
          <w:b/>
          <w:sz w:val="18"/>
          <w:szCs w:val="18"/>
        </w:rPr>
        <w:t>ribociclib</w:t>
      </w:r>
      <w:proofErr w:type="spellEnd"/>
      <w:r w:rsidRPr="00285553">
        <w:rPr>
          <w:rFonts w:ascii="Arial" w:eastAsia="Times New Roman" w:hAnsi="Arial" w:cs="Arial"/>
          <w:b/>
          <w:sz w:val="18"/>
          <w:szCs w:val="18"/>
        </w:rPr>
        <w:t xml:space="preserve"> plus </w:t>
      </w:r>
      <w:proofErr w:type="spellStart"/>
      <w:r w:rsidRPr="00285553">
        <w:rPr>
          <w:rFonts w:ascii="Arial" w:eastAsia="Times New Roman" w:hAnsi="Arial" w:cs="Arial"/>
          <w:b/>
          <w:sz w:val="18"/>
          <w:szCs w:val="18"/>
        </w:rPr>
        <w:t>fulvestrant</w:t>
      </w:r>
      <w:proofErr w:type="spellEnd"/>
      <w:r w:rsidRPr="00285553">
        <w:rPr>
          <w:rFonts w:ascii="Arial" w:eastAsia="Times New Roman" w:hAnsi="Arial" w:cs="Arial"/>
          <w:b/>
          <w:sz w:val="18"/>
          <w:szCs w:val="18"/>
        </w:rPr>
        <w:t xml:space="preserve"> be the preferred treatment in the endocrine-naive setting? </w:t>
      </w:r>
    </w:p>
    <w:p w14:paraId="0EA916A0" w14:textId="77777777" w:rsidR="00285553" w:rsidRPr="00285553" w:rsidRDefault="00285553" w:rsidP="00285553">
      <w:pPr>
        <w:pStyle w:val="ListParagraph"/>
        <w:numPr>
          <w:ilvl w:val="1"/>
          <w:numId w:val="42"/>
        </w:numPr>
        <w:rPr>
          <w:rFonts w:ascii="Arial" w:eastAsia="Times New Roman" w:hAnsi="Arial" w:cs="Arial"/>
          <w:b/>
          <w:sz w:val="18"/>
          <w:szCs w:val="18"/>
        </w:rPr>
      </w:pPr>
      <w:r w:rsidRPr="00285553">
        <w:rPr>
          <w:rFonts w:ascii="Arial" w:eastAsia="Times New Roman" w:hAnsi="Arial" w:cs="Arial"/>
          <w:b/>
          <w:sz w:val="18"/>
          <w:szCs w:val="18"/>
        </w:rPr>
        <w:t xml:space="preserve">What treatment options would be available to patients upon progression of </w:t>
      </w:r>
      <w:proofErr w:type="spellStart"/>
      <w:r w:rsidRPr="00285553">
        <w:rPr>
          <w:rFonts w:ascii="Arial" w:eastAsia="Times New Roman" w:hAnsi="Arial" w:cs="Arial"/>
          <w:b/>
          <w:sz w:val="18"/>
          <w:szCs w:val="18"/>
        </w:rPr>
        <w:t>ribociclib</w:t>
      </w:r>
      <w:proofErr w:type="spellEnd"/>
      <w:r w:rsidRPr="00285553">
        <w:rPr>
          <w:rFonts w:ascii="Arial" w:eastAsia="Times New Roman" w:hAnsi="Arial" w:cs="Arial"/>
          <w:b/>
          <w:sz w:val="18"/>
          <w:szCs w:val="18"/>
        </w:rPr>
        <w:t xml:space="preserve"> plus </w:t>
      </w:r>
      <w:proofErr w:type="spellStart"/>
      <w:r w:rsidRPr="00285553">
        <w:rPr>
          <w:rFonts w:ascii="Arial" w:eastAsia="Times New Roman" w:hAnsi="Arial" w:cs="Arial"/>
          <w:b/>
          <w:sz w:val="18"/>
          <w:szCs w:val="18"/>
        </w:rPr>
        <w:t>fulvestrant</w:t>
      </w:r>
      <w:proofErr w:type="spellEnd"/>
      <w:r w:rsidRPr="00285553">
        <w:rPr>
          <w:rFonts w:ascii="Arial" w:eastAsia="Times New Roman" w:hAnsi="Arial" w:cs="Arial"/>
          <w:b/>
          <w:sz w:val="18"/>
          <w:szCs w:val="18"/>
        </w:rPr>
        <w:t xml:space="preserve"> (e.g., </w:t>
      </w:r>
      <w:proofErr w:type="spellStart"/>
      <w:r w:rsidRPr="00285553">
        <w:rPr>
          <w:rFonts w:ascii="Arial" w:eastAsia="Times New Roman" w:hAnsi="Arial" w:cs="Arial"/>
          <w:b/>
          <w:sz w:val="18"/>
          <w:szCs w:val="18"/>
        </w:rPr>
        <w:t>everolimus</w:t>
      </w:r>
      <w:proofErr w:type="spellEnd"/>
      <w:r w:rsidRPr="00285553">
        <w:rPr>
          <w:rFonts w:ascii="Arial" w:eastAsia="Times New Roman" w:hAnsi="Arial" w:cs="Arial"/>
          <w:b/>
          <w:sz w:val="18"/>
          <w:szCs w:val="18"/>
        </w:rPr>
        <w:t xml:space="preserve"> plus exemestane, or chemotherapy)?</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rsidRPr="000A56A6" w14:paraId="57FB5923" w14:textId="77777777" w:rsidTr="00EB0EEF">
        <w:tc>
          <w:tcPr>
            <w:tcW w:w="10166" w:type="dxa"/>
          </w:tcPr>
          <w:p w14:paraId="6097732C" w14:textId="77777777" w:rsidR="00EB0EEF" w:rsidRPr="000A56A6" w:rsidRDefault="00EB0EEF" w:rsidP="007F0BD8">
            <w:pPr>
              <w:rPr>
                <w:rFonts w:ascii="Arial" w:hAnsi="Arial" w:cs="Arial"/>
                <w:sz w:val="22"/>
                <w:szCs w:val="22"/>
              </w:rPr>
            </w:pPr>
          </w:p>
          <w:p w14:paraId="2D2A5632" w14:textId="77777777" w:rsidR="00EB0EEF" w:rsidRPr="000A56A6" w:rsidRDefault="00EB0EEF" w:rsidP="007F0BD8">
            <w:pPr>
              <w:rPr>
                <w:rFonts w:ascii="Arial" w:hAnsi="Arial" w:cs="Arial"/>
                <w:sz w:val="22"/>
                <w:szCs w:val="22"/>
              </w:rPr>
            </w:pPr>
          </w:p>
          <w:p w14:paraId="4C3995A1" w14:textId="77777777" w:rsidR="00EB0EEF" w:rsidRPr="000A56A6" w:rsidRDefault="00EB0EEF" w:rsidP="007F0BD8">
            <w:pPr>
              <w:rPr>
                <w:rFonts w:ascii="Arial" w:hAnsi="Arial" w:cs="Arial"/>
                <w:sz w:val="22"/>
                <w:szCs w:val="22"/>
              </w:rPr>
            </w:pPr>
          </w:p>
          <w:p w14:paraId="582E16AE" w14:textId="77777777" w:rsidR="00EB0EEF" w:rsidRPr="000A56A6" w:rsidRDefault="00EB0EEF" w:rsidP="007F0BD8">
            <w:pPr>
              <w:rPr>
                <w:rFonts w:ascii="Arial" w:hAnsi="Arial" w:cs="Arial"/>
                <w:sz w:val="22"/>
                <w:szCs w:val="22"/>
              </w:rPr>
            </w:pPr>
          </w:p>
          <w:p w14:paraId="00159B81" w14:textId="77777777" w:rsidR="00EB0EEF" w:rsidRPr="000A56A6" w:rsidRDefault="00EB0EEF" w:rsidP="007F0BD8">
            <w:pPr>
              <w:rPr>
                <w:rFonts w:ascii="Arial" w:hAnsi="Arial" w:cs="Arial"/>
                <w:sz w:val="22"/>
                <w:szCs w:val="22"/>
              </w:rPr>
            </w:pPr>
          </w:p>
        </w:tc>
      </w:tr>
    </w:tbl>
    <w:p w14:paraId="4A9E0032" w14:textId="28BA0756" w:rsidR="00B06CDB" w:rsidRPr="000A56A6" w:rsidRDefault="00D03AC9" w:rsidP="000028EA">
      <w:pPr>
        <w:pStyle w:val="Heading2"/>
        <w:tabs>
          <w:tab w:val="clear" w:pos="0"/>
          <w:tab w:val="clear" w:pos="720"/>
        </w:tabs>
        <w:spacing w:before="240" w:after="120"/>
        <w:ind w:left="994" w:hanging="454"/>
        <w:rPr>
          <w:rFonts w:ascii="Arial" w:hAnsi="Arial" w:cs="Arial"/>
          <w:spacing w:val="0"/>
          <w:sz w:val="18"/>
        </w:rPr>
      </w:pPr>
      <w:bookmarkStart w:id="7" w:name="_Toc439923601"/>
      <w:r w:rsidRPr="000A56A6">
        <w:rPr>
          <w:rFonts w:ascii="Arial" w:hAnsi="Arial" w:cs="Arial"/>
          <w:spacing w:val="0"/>
          <w:sz w:val="18"/>
        </w:rPr>
        <w:t>3</w:t>
      </w:r>
      <w:r w:rsidR="00B06CDB" w:rsidRPr="000A56A6">
        <w:rPr>
          <w:rFonts w:ascii="Arial" w:hAnsi="Arial" w:cs="Arial"/>
          <w:spacing w:val="0"/>
          <w:sz w:val="18"/>
        </w:rPr>
        <w:t>.</w:t>
      </w:r>
      <w:r w:rsidR="009001C3" w:rsidRPr="000A56A6">
        <w:rPr>
          <w:rFonts w:ascii="Arial" w:hAnsi="Arial" w:cs="Arial"/>
          <w:spacing w:val="0"/>
          <w:sz w:val="18"/>
        </w:rPr>
        <w:t>5</w:t>
      </w:r>
      <w:r w:rsidR="00B06CDB" w:rsidRPr="000A56A6">
        <w:rPr>
          <w:rFonts w:ascii="Arial" w:hAnsi="Arial" w:cs="Arial"/>
          <w:spacing w:val="0"/>
          <w:sz w:val="18"/>
        </w:rPr>
        <w:t xml:space="preserve"> </w:t>
      </w:r>
      <w:r w:rsidR="00EB0EEF" w:rsidRPr="000A56A6">
        <w:rPr>
          <w:rFonts w:ascii="Arial" w:hAnsi="Arial" w:cs="Arial"/>
          <w:spacing w:val="0"/>
          <w:sz w:val="18"/>
        </w:rPr>
        <w:tab/>
      </w:r>
      <w:r w:rsidR="00B06CDB" w:rsidRPr="000A56A6">
        <w:rPr>
          <w:rFonts w:ascii="Arial" w:hAnsi="Arial" w:cs="Arial"/>
          <w:spacing w:val="0"/>
          <w:sz w:val="18"/>
        </w:rPr>
        <w:t>Companion Diagnostic Test</w:t>
      </w:r>
      <w:r w:rsidR="00F9346A" w:rsidRPr="000A56A6">
        <w:rPr>
          <w:rFonts w:ascii="Arial" w:hAnsi="Arial" w:cs="Arial"/>
          <w:spacing w:val="0"/>
          <w:sz w:val="18"/>
        </w:rPr>
        <w:t>ing</w:t>
      </w:r>
      <w:bookmarkEnd w:id="7"/>
    </w:p>
    <w:p w14:paraId="07727B37" w14:textId="4D0FF1D9" w:rsidR="00912B81" w:rsidRPr="000635BE" w:rsidRDefault="006B2DFA" w:rsidP="000635BE">
      <w:pPr>
        <w:pStyle w:val="pCODR11Bullet1stLevel"/>
        <w:numPr>
          <w:ilvl w:val="0"/>
          <w:numId w:val="42"/>
        </w:numPr>
        <w:spacing w:after="60" w:line="276" w:lineRule="auto"/>
        <w:ind w:left="1260" w:right="864" w:hanging="187"/>
        <w:rPr>
          <w:rFonts w:ascii="Arial" w:hAnsi="Arial" w:cs="Arial"/>
          <w:sz w:val="18"/>
        </w:rPr>
      </w:pPr>
      <w:r w:rsidRPr="000A56A6">
        <w:rPr>
          <w:rFonts w:ascii="Arial" w:hAnsi="Arial" w:cs="Arial"/>
          <w:sz w:val="18"/>
        </w:rPr>
        <w:t>I</w:t>
      </w:r>
      <w:r w:rsidR="00B06CDB" w:rsidRPr="000A56A6">
        <w:rPr>
          <w:rFonts w:ascii="Arial" w:hAnsi="Arial" w:cs="Arial"/>
          <w:sz w:val="18"/>
        </w:rPr>
        <w:t xml:space="preserve">f companion </w:t>
      </w:r>
      <w:r w:rsidR="00CE4147" w:rsidRPr="000A56A6">
        <w:rPr>
          <w:rFonts w:ascii="Arial" w:hAnsi="Arial" w:cs="Arial"/>
          <w:sz w:val="18"/>
        </w:rPr>
        <w:t>diagnostic</w:t>
      </w:r>
      <w:r w:rsidR="00B06CDB" w:rsidRPr="000A56A6">
        <w:rPr>
          <w:rFonts w:ascii="Arial" w:hAnsi="Arial" w:cs="Arial"/>
          <w:sz w:val="18"/>
        </w:rPr>
        <w:t xml:space="preserve"> testing is required for the new drug, </w:t>
      </w:r>
      <w:r w:rsidRPr="000A56A6">
        <w:rPr>
          <w:rFonts w:ascii="Arial" w:hAnsi="Arial" w:cs="Arial"/>
          <w:sz w:val="18"/>
        </w:rPr>
        <w:t>i</w:t>
      </w:r>
      <w:r w:rsidR="004A4987" w:rsidRPr="000A56A6">
        <w:rPr>
          <w:rFonts w:ascii="Arial" w:hAnsi="Arial" w:cs="Arial"/>
          <w:sz w:val="18"/>
        </w:rPr>
        <w:t>s the test available in your jurisdiction? Is it funded by your jurisdiction</w:t>
      </w:r>
      <w:r w:rsidR="009B3751" w:rsidRPr="000A56A6">
        <w:rPr>
          <w:rFonts w:ascii="Arial" w:hAnsi="Arial" w:cs="Arial"/>
          <w:sz w:val="18"/>
        </w:rPr>
        <w:t xml:space="preserve">? What concerns, if any, </w:t>
      </w:r>
      <w:r w:rsidR="00327B25" w:rsidRPr="000A56A6">
        <w:rPr>
          <w:rFonts w:ascii="Arial" w:hAnsi="Arial" w:cs="Arial"/>
          <w:sz w:val="18"/>
        </w:rPr>
        <w:t>do you have</w:t>
      </w:r>
      <w:r w:rsidR="009B3751" w:rsidRPr="000A56A6">
        <w:rPr>
          <w:rFonts w:ascii="Arial" w:hAnsi="Arial" w:cs="Arial"/>
          <w:sz w:val="18"/>
        </w:rPr>
        <w:t xml:space="preserve"> on the test and turnaround time for test results</w:t>
      </w:r>
      <w:r w:rsidR="004A4987" w:rsidRPr="000A56A6">
        <w:rPr>
          <w:rFonts w:ascii="Arial" w:hAnsi="Arial" w:cs="Arial"/>
          <w:sz w:val="18"/>
        </w:rPr>
        <w:t>?</w:t>
      </w:r>
      <w:r w:rsidR="00CE4147" w:rsidRPr="000A56A6">
        <w:rPr>
          <w:rFonts w:ascii="Arial" w:hAnsi="Arial" w:cs="Arial"/>
          <w:sz w:val="18"/>
        </w:rPr>
        <w:t xml:space="preserve"> </w:t>
      </w:r>
      <w:r w:rsidR="009B3751" w:rsidRPr="000A56A6">
        <w:rPr>
          <w:rFonts w:ascii="Arial" w:hAnsi="Arial" w:cs="Arial"/>
          <w:sz w:val="18"/>
        </w:rPr>
        <w:t>A</w:t>
      </w:r>
      <w:r w:rsidR="00CE4147" w:rsidRPr="000A56A6">
        <w:rPr>
          <w:rFonts w:ascii="Arial" w:hAnsi="Arial" w:cs="Arial"/>
          <w:sz w:val="18"/>
        </w:rPr>
        <w:t xml:space="preserve">re there specific considerations to a testing algorithm that you think would be important to share with the </w:t>
      </w:r>
      <w:proofErr w:type="spellStart"/>
      <w:r w:rsidR="00CE4147" w:rsidRPr="000A56A6">
        <w:rPr>
          <w:rFonts w:ascii="Arial" w:hAnsi="Arial" w:cs="Arial"/>
          <w:sz w:val="18"/>
        </w:rPr>
        <w:t>pCODR</w:t>
      </w:r>
      <w:proofErr w:type="spellEnd"/>
      <w:r w:rsidR="00CE4147" w:rsidRPr="000A56A6">
        <w:rPr>
          <w:rFonts w:ascii="Arial" w:hAnsi="Arial" w:cs="Arial"/>
          <w:sz w:val="18"/>
        </w:rPr>
        <w:t xml:space="preserve">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rsidRPr="000A56A6" w14:paraId="506F357D" w14:textId="77777777" w:rsidTr="00EB0EEF">
        <w:tc>
          <w:tcPr>
            <w:tcW w:w="10166" w:type="dxa"/>
          </w:tcPr>
          <w:p w14:paraId="5563E276" w14:textId="77777777" w:rsidR="00EB0EEF" w:rsidRPr="000A56A6" w:rsidRDefault="00EB0EEF" w:rsidP="007F0BD8">
            <w:pPr>
              <w:rPr>
                <w:rFonts w:ascii="Arial" w:hAnsi="Arial" w:cs="Arial"/>
                <w:sz w:val="22"/>
                <w:szCs w:val="22"/>
              </w:rPr>
            </w:pPr>
          </w:p>
          <w:p w14:paraId="73F3B1D7" w14:textId="77777777" w:rsidR="00EB0EEF" w:rsidRPr="000A56A6" w:rsidRDefault="00EB0EEF" w:rsidP="007F0BD8">
            <w:pPr>
              <w:rPr>
                <w:rFonts w:ascii="Arial" w:hAnsi="Arial" w:cs="Arial"/>
                <w:sz w:val="22"/>
                <w:szCs w:val="22"/>
              </w:rPr>
            </w:pPr>
          </w:p>
          <w:p w14:paraId="3BB601C8" w14:textId="77777777" w:rsidR="00EB0EEF" w:rsidRPr="000A56A6" w:rsidRDefault="00EB0EEF" w:rsidP="007F0BD8">
            <w:pPr>
              <w:rPr>
                <w:rFonts w:ascii="Arial" w:hAnsi="Arial" w:cs="Arial"/>
                <w:sz w:val="22"/>
                <w:szCs w:val="22"/>
              </w:rPr>
            </w:pPr>
          </w:p>
        </w:tc>
      </w:tr>
    </w:tbl>
    <w:p w14:paraId="22731A19" w14:textId="77777777" w:rsidR="00EB0EEF" w:rsidRPr="000A56A6" w:rsidRDefault="00EB0EEF" w:rsidP="00EB0EEF">
      <w:pPr>
        <w:pStyle w:val="BodyCopy"/>
        <w:spacing w:after="120" w:line="240" w:lineRule="auto"/>
        <w:ind w:left="360"/>
        <w:rPr>
          <w:b/>
          <w:color w:val="0067B9"/>
          <w:sz w:val="24"/>
          <w:szCs w:val="28"/>
        </w:rPr>
      </w:pPr>
      <w:bookmarkStart w:id="8" w:name="_Toc439923602"/>
    </w:p>
    <w:p w14:paraId="52E86F3E" w14:textId="0F1EF26A" w:rsidR="007F0BD8" w:rsidRPr="000A56A6" w:rsidRDefault="007F0BD8" w:rsidP="000028EA">
      <w:pPr>
        <w:pStyle w:val="BodyCopy"/>
        <w:numPr>
          <w:ilvl w:val="0"/>
          <w:numId w:val="43"/>
        </w:numPr>
        <w:spacing w:after="120" w:line="240" w:lineRule="auto"/>
        <w:rPr>
          <w:b/>
          <w:color w:val="0067B9"/>
          <w:sz w:val="24"/>
          <w:szCs w:val="28"/>
        </w:rPr>
      </w:pPr>
      <w:r w:rsidRPr="000A56A6">
        <w:rPr>
          <w:b/>
          <w:color w:val="0067B9"/>
          <w:sz w:val="24"/>
          <w:szCs w:val="28"/>
        </w:rPr>
        <w:t>I</w:t>
      </w:r>
      <w:r w:rsidR="00307876" w:rsidRPr="000A56A6">
        <w:rPr>
          <w:b/>
          <w:color w:val="0067B9"/>
          <w:sz w:val="24"/>
          <w:szCs w:val="28"/>
        </w:rPr>
        <w:t>mplement</w:t>
      </w:r>
      <w:r w:rsidRPr="000A56A6">
        <w:rPr>
          <w:b/>
          <w:color w:val="0067B9"/>
          <w:sz w:val="24"/>
          <w:szCs w:val="28"/>
        </w:rPr>
        <w:t>ation</w:t>
      </w:r>
      <w:bookmarkEnd w:id="8"/>
      <w:r w:rsidR="00307876" w:rsidRPr="000A56A6">
        <w:rPr>
          <w:b/>
          <w:color w:val="0067B9"/>
          <w:sz w:val="24"/>
          <w:szCs w:val="28"/>
        </w:rPr>
        <w:t xml:space="preserve"> Questions</w:t>
      </w:r>
    </w:p>
    <w:p w14:paraId="5883E26F" w14:textId="31C2325D" w:rsidR="00852259" w:rsidRPr="000A56A6" w:rsidRDefault="00364061" w:rsidP="000028EA">
      <w:pPr>
        <w:pStyle w:val="pCODR1Body"/>
        <w:spacing w:line="276" w:lineRule="auto"/>
        <w:ind w:left="360"/>
        <w:rPr>
          <w:rFonts w:ascii="Arial" w:hAnsi="Arial" w:cs="Arial"/>
          <w:sz w:val="18"/>
        </w:rPr>
      </w:pPr>
      <w:r w:rsidRPr="000A56A6">
        <w:rPr>
          <w:rFonts w:ascii="Arial" w:hAnsi="Arial" w:cs="Arial"/>
          <w:sz w:val="18"/>
        </w:rPr>
        <w:t>The Ministries of Health and p</w:t>
      </w:r>
      <w:r w:rsidR="00852259" w:rsidRPr="000A56A6">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0A56A6">
        <w:rPr>
          <w:rFonts w:ascii="Arial" w:hAnsi="Arial" w:cs="Arial"/>
          <w:sz w:val="18"/>
        </w:rPr>
        <w:t xml:space="preserve"> the </w:t>
      </w:r>
      <w:r w:rsidR="00852259" w:rsidRPr="000A56A6">
        <w:rPr>
          <w:rFonts w:ascii="Arial" w:hAnsi="Arial" w:cs="Arial"/>
          <w:sz w:val="18"/>
        </w:rPr>
        <w:t>cancer drug</w:t>
      </w:r>
      <w:r w:rsidRPr="000A56A6">
        <w:rPr>
          <w:rFonts w:ascii="Arial" w:hAnsi="Arial" w:cs="Arial"/>
          <w:sz w:val="18"/>
        </w:rPr>
        <w:t xml:space="preserve"> system</w:t>
      </w:r>
      <w:r w:rsidR="00852259" w:rsidRPr="000A56A6">
        <w:rPr>
          <w:rFonts w:ascii="Arial" w:hAnsi="Arial" w:cs="Arial"/>
          <w:sz w:val="18"/>
        </w:rPr>
        <w:t xml:space="preserve">, more </w:t>
      </w:r>
      <w:r w:rsidRPr="000A56A6">
        <w:rPr>
          <w:rFonts w:ascii="Arial" w:hAnsi="Arial" w:cs="Arial"/>
          <w:sz w:val="18"/>
        </w:rPr>
        <w:t xml:space="preserve">is </w:t>
      </w:r>
      <w:r w:rsidR="00852259" w:rsidRPr="000A56A6">
        <w:rPr>
          <w:rFonts w:ascii="Arial" w:hAnsi="Arial" w:cs="Arial"/>
          <w:sz w:val="18"/>
        </w:rPr>
        <w:t>need</w:t>
      </w:r>
      <w:r w:rsidRPr="000A56A6">
        <w:rPr>
          <w:rFonts w:ascii="Arial" w:hAnsi="Arial" w:cs="Arial"/>
          <w:sz w:val="18"/>
        </w:rPr>
        <w:t>ed</w:t>
      </w:r>
      <w:r w:rsidR="00852259" w:rsidRPr="000A56A6">
        <w:rPr>
          <w:rFonts w:ascii="Arial" w:hAnsi="Arial" w:cs="Arial"/>
          <w:sz w:val="18"/>
        </w:rPr>
        <w:t xml:space="preserve"> to be done to ensure innovative treatments are available to patients</w:t>
      </w:r>
      <w:r w:rsidR="003640EA" w:rsidRPr="000A56A6">
        <w:rPr>
          <w:rFonts w:ascii="Arial" w:hAnsi="Arial" w:cs="Arial"/>
          <w:sz w:val="18"/>
        </w:rPr>
        <w:t>,</w:t>
      </w:r>
      <w:r w:rsidR="00852259" w:rsidRPr="000A56A6">
        <w:rPr>
          <w:rFonts w:ascii="Arial" w:hAnsi="Arial" w:cs="Arial"/>
          <w:sz w:val="18"/>
        </w:rPr>
        <w:t xml:space="preserve"> while ensuring value for money for the public.</w:t>
      </w:r>
    </w:p>
    <w:p w14:paraId="5ECC9E32" w14:textId="4A26ECC1" w:rsidR="000A56A6" w:rsidRPr="000635BE" w:rsidRDefault="00364061" w:rsidP="000635BE">
      <w:pPr>
        <w:pStyle w:val="pCODR1Body"/>
        <w:spacing w:line="276" w:lineRule="auto"/>
        <w:ind w:left="360"/>
        <w:rPr>
          <w:rFonts w:ascii="Arial" w:hAnsi="Arial" w:cs="Arial"/>
          <w:sz w:val="18"/>
        </w:rPr>
      </w:pPr>
      <w:r w:rsidRPr="00912B81">
        <w:rPr>
          <w:rFonts w:ascii="Arial" w:hAnsi="Arial" w:cs="Arial"/>
          <w:sz w:val="18"/>
        </w:rPr>
        <w:t xml:space="preserve">We </w:t>
      </w:r>
      <w:r w:rsidR="00852259" w:rsidRPr="00912B81">
        <w:rPr>
          <w:rFonts w:ascii="Arial" w:hAnsi="Arial" w:cs="Arial"/>
          <w:sz w:val="18"/>
        </w:rPr>
        <w:t xml:space="preserve">are seeking your clinical opinion on the following implementation issues, </w:t>
      </w:r>
      <w:r w:rsidR="003B1E52" w:rsidRPr="00912B81">
        <w:rPr>
          <w:rFonts w:ascii="Arial" w:hAnsi="Arial" w:cs="Arial"/>
          <w:sz w:val="18"/>
        </w:rPr>
        <w:t>if and when th</w:t>
      </w:r>
      <w:r w:rsidR="00D65E73" w:rsidRPr="00912B81">
        <w:rPr>
          <w:rFonts w:ascii="Arial" w:hAnsi="Arial" w:cs="Arial"/>
          <w:sz w:val="18"/>
        </w:rPr>
        <w:t xml:space="preserve">e new treatment </w:t>
      </w:r>
      <w:r w:rsidR="003B1E52" w:rsidRPr="00912B81">
        <w:rPr>
          <w:rFonts w:ascii="Arial" w:hAnsi="Arial" w:cs="Arial"/>
          <w:sz w:val="18"/>
        </w:rPr>
        <w:t>is reimbursed</w:t>
      </w:r>
      <w:r w:rsidR="00852259" w:rsidRPr="00912B81">
        <w:rPr>
          <w:rFonts w:ascii="Arial" w:hAnsi="Arial" w:cs="Arial"/>
          <w:sz w:val="18"/>
        </w:rPr>
        <w:t>.</w:t>
      </w:r>
      <w:r w:rsidR="006F03F1" w:rsidRPr="00912B81">
        <w:rPr>
          <w:rFonts w:ascii="Arial" w:hAnsi="Arial" w:cs="Arial"/>
          <w:sz w:val="18"/>
        </w:rPr>
        <w:t xml:space="preserve"> Your responses would be taken into consideration, among other factors, when </w:t>
      </w:r>
      <w:r w:rsidRPr="00912B81">
        <w:rPr>
          <w:rFonts w:ascii="Arial" w:hAnsi="Arial" w:cs="Arial"/>
          <w:sz w:val="18"/>
        </w:rPr>
        <w:t xml:space="preserve">Ministries of Health and </w:t>
      </w:r>
      <w:r w:rsidR="006F03F1" w:rsidRPr="00912B81">
        <w:rPr>
          <w:rFonts w:ascii="Arial" w:hAnsi="Arial" w:cs="Arial"/>
          <w:sz w:val="18"/>
        </w:rPr>
        <w:t>provincial cancer programs make their final funding decisions.</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434FDC" w:rsidRPr="000A56A6" w14:paraId="73A55436" w14:textId="77777777" w:rsidTr="00860375">
        <w:trPr>
          <w:trHeight w:val="197"/>
        </w:trPr>
        <w:tc>
          <w:tcPr>
            <w:tcW w:w="10346" w:type="dxa"/>
          </w:tcPr>
          <w:p w14:paraId="4994FC71" w14:textId="77777777" w:rsidR="00434FDC" w:rsidRPr="000A56A6" w:rsidRDefault="00434FDC" w:rsidP="00860375">
            <w:pPr>
              <w:pStyle w:val="pCODR01AppendixHeader"/>
              <w:spacing w:before="0" w:after="0"/>
              <w:rPr>
                <w:rFonts w:ascii="Arial" w:hAnsi="Arial" w:cs="Arial"/>
                <w:spacing w:val="0"/>
              </w:rPr>
            </w:pPr>
          </w:p>
        </w:tc>
      </w:tr>
    </w:tbl>
    <w:p w14:paraId="4F304C48" w14:textId="12934AB9" w:rsidR="00F60A6E" w:rsidRDefault="00F60A6E">
      <w:pPr>
        <w:rPr>
          <w:rFonts w:ascii="Arial" w:eastAsia="Times New Roman" w:hAnsi="Arial" w:cs="Arial"/>
          <w:b/>
          <w:color w:val="0067B9"/>
          <w:sz w:val="24"/>
          <w:szCs w:val="28"/>
        </w:rPr>
      </w:pPr>
      <w:bookmarkStart w:id="9" w:name="_Toc439923603"/>
    </w:p>
    <w:p w14:paraId="179EB68B" w14:textId="136CC78E"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w:t>
      </w:r>
      <w:proofErr w:type="spellStart"/>
      <w:r w:rsidRPr="000028EA">
        <w:rPr>
          <w:b/>
          <w:color w:val="0067B9"/>
          <w:sz w:val="24"/>
          <w:szCs w:val="28"/>
        </w:rPr>
        <w:t>pCODR</w:t>
      </w:r>
      <w:proofErr w:type="spellEnd"/>
      <w:r w:rsidRPr="000028EA">
        <w:rPr>
          <w:b/>
          <w:color w:val="0067B9"/>
          <w:sz w:val="24"/>
          <w:szCs w:val="28"/>
        </w:rPr>
        <w:t xml:space="preserve"> </w:t>
      </w:r>
      <w:r w:rsidR="00E14476" w:rsidRPr="000028EA">
        <w:rPr>
          <w:b/>
          <w:color w:val="0067B9"/>
          <w:sz w:val="24"/>
          <w:szCs w:val="28"/>
        </w:rPr>
        <w:t xml:space="preserve">Clinician </w:t>
      </w:r>
      <w:r w:rsidRPr="000028EA">
        <w:rPr>
          <w:b/>
          <w:color w:val="0067B9"/>
          <w:sz w:val="24"/>
          <w:szCs w:val="28"/>
        </w:rPr>
        <w:t>Conflict of Interest Declarations</w:t>
      </w:r>
      <w:bookmarkEnd w:id="9"/>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 xml:space="preserve">ote: Each registered clinician must complete their own separate </w:t>
      </w:r>
      <w:proofErr w:type="spellStart"/>
      <w:r w:rsidRPr="000028EA">
        <w:rPr>
          <w:rFonts w:ascii="Arial" w:hAnsi="Arial" w:cs="Arial"/>
          <w:b/>
          <w:sz w:val="18"/>
          <w:szCs w:val="22"/>
        </w:rPr>
        <w:t>pCODR</w:t>
      </w:r>
      <w:proofErr w:type="spellEnd"/>
      <w:r w:rsidRPr="000028EA">
        <w:rPr>
          <w:rFonts w:ascii="Arial" w:hAnsi="Arial" w:cs="Arial"/>
          <w:b/>
          <w:sz w:val="18"/>
          <w:szCs w:val="22"/>
        </w:rPr>
        <w:t xml:space="preserve">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4031"/>
        <w:gridCol w:w="6748"/>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w:t>
      </w:r>
      <w:proofErr w:type="spellStart"/>
      <w:r w:rsidRPr="00EB0EEF">
        <w:rPr>
          <w:rFonts w:ascii="Arial" w:hAnsi="Arial" w:cs="Arial"/>
          <w:sz w:val="18"/>
        </w:rPr>
        <w:t>pCODR</w:t>
      </w:r>
      <w:proofErr w:type="spellEnd"/>
      <w:r w:rsidRPr="00EB0EEF">
        <w:rPr>
          <w:rFonts w:ascii="Arial" w:hAnsi="Arial" w:cs="Arial"/>
          <w:sz w:val="18"/>
        </w:rPr>
        <w:t xml:space="preserve"> process, all participants in the </w:t>
      </w:r>
      <w:proofErr w:type="spellStart"/>
      <w:r w:rsidRPr="00EB0EEF">
        <w:rPr>
          <w:rFonts w:ascii="Arial" w:hAnsi="Arial" w:cs="Arial"/>
          <w:sz w:val="18"/>
        </w:rPr>
        <w:t>pCODR</w:t>
      </w:r>
      <w:proofErr w:type="spellEnd"/>
      <w:r w:rsidRPr="00EB0EEF">
        <w:rPr>
          <w:rFonts w:ascii="Arial" w:hAnsi="Arial" w:cs="Arial"/>
          <w:sz w:val="18"/>
        </w:rPr>
        <w:t xml:space="preserve">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0FDFF7E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Pr="000028EA">
        <w:rPr>
          <w:rFonts w:ascii="Arial" w:hAnsi="Arial" w:cs="Arial"/>
          <w:sz w:val="18"/>
          <w:szCs w:val="18"/>
        </w:rPr>
        <w:t>box</w:t>
      </w:r>
      <w:r w:rsidR="00674F7D" w:rsidRPr="000028EA">
        <w:rPr>
          <w:rFonts w:ascii="Arial" w:hAnsi="Arial" w:cs="Arial"/>
          <w:sz w:val="18"/>
          <w:szCs w:val="18"/>
        </w:rPr>
        <w:t>.</w:t>
      </w:r>
    </w:p>
    <w:tbl>
      <w:tblPr>
        <w:tblStyle w:val="TableGrid"/>
        <w:tblW w:w="0" w:type="auto"/>
        <w:tblInd w:w="477"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37"/>
      </w:tblGrid>
      <w:tr w:rsidR="000028EA" w14:paraId="55A254AE" w14:textId="77777777" w:rsidTr="000028EA">
        <w:tc>
          <w:tcPr>
            <w:tcW w:w="10337" w:type="dxa"/>
          </w:tcPr>
          <w:p w14:paraId="4F977D90"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01B8DBCD"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2BD4FCD3"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3148EC69" w14:textId="77777777" w:rsidR="000028EA" w:rsidRDefault="000028EA" w:rsidP="00664CA0">
            <w:pPr>
              <w:pStyle w:val="pCODR1AlphaBullet1stLevel"/>
              <w:numPr>
                <w:ilvl w:val="0"/>
                <w:numId w:val="0"/>
              </w:numPr>
              <w:spacing w:before="120"/>
              <w:rPr>
                <w:rFonts w:ascii="Arial" w:hAnsi="Arial" w:cs="Arial"/>
                <w:b/>
                <w:bCs/>
                <w:i/>
                <w:iCs/>
                <w:sz w:val="18"/>
                <w:szCs w:val="18"/>
              </w:rPr>
            </w:pPr>
          </w:p>
        </w:tc>
      </w:tr>
    </w:tbl>
    <w:p w14:paraId="2376938D" w14:textId="77777777" w:rsidR="007410A2" w:rsidRPr="000028EA" w:rsidRDefault="007410A2" w:rsidP="00664CA0">
      <w:pPr>
        <w:pStyle w:val="pCODR1AlphaBullet1stLevel"/>
        <w:numPr>
          <w:ilvl w:val="0"/>
          <w:numId w:val="0"/>
        </w:numPr>
        <w:spacing w:before="120"/>
        <w:rPr>
          <w:rFonts w:ascii="Arial" w:hAnsi="Arial" w:cs="Arial"/>
          <w:b/>
          <w:bCs/>
          <w:i/>
          <w:iCs/>
          <w:sz w:val="18"/>
          <w:szCs w:val="18"/>
        </w:rPr>
      </w:pPr>
    </w:p>
    <w:p w14:paraId="2CE453E7" w14:textId="77777777" w:rsidR="000028EA" w:rsidRDefault="000028EA" w:rsidP="00664CA0">
      <w:pPr>
        <w:pStyle w:val="pCODR1AlphaBullet1stLevel"/>
        <w:numPr>
          <w:ilvl w:val="0"/>
          <w:numId w:val="0"/>
        </w:numPr>
        <w:spacing w:before="120"/>
        <w:rPr>
          <w:rFonts w:ascii="Arial" w:hAnsi="Arial" w:cs="Arial"/>
          <w:b/>
          <w:bCs/>
          <w:i/>
          <w:iCs/>
          <w:sz w:val="18"/>
          <w:szCs w:val="18"/>
        </w:rPr>
        <w:sectPr w:rsidR="000028EA" w:rsidSect="00EB0EEF">
          <w:pgSz w:w="12240" w:h="15840" w:code="1"/>
          <w:pgMar w:top="2362" w:right="821" w:bottom="1454" w:left="821" w:header="720" w:footer="720" w:gutter="0"/>
          <w:cols w:space="720"/>
          <w:titlePg/>
          <w:docGrid w:linePitch="360"/>
        </w:sectPr>
      </w:pPr>
    </w:p>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p w14:paraId="28AEB3B7" w14:textId="64F9BE39" w:rsidR="00664CA0" w:rsidRPr="000028EA" w:rsidRDefault="00965FDE" w:rsidP="00664CA0">
      <w:pPr>
        <w:pStyle w:val="Default"/>
        <w:rPr>
          <w:rFonts w:eastAsia="SimSun"/>
          <w:sz w:val="18"/>
          <w:szCs w:val="18"/>
          <w:lang w:eastAsia="zh-CN"/>
        </w:rPr>
      </w:pPr>
      <w:r w:rsidRPr="000028EA">
        <w:rPr>
          <w:rFonts w:eastAsia="SimSun"/>
          <w:sz w:val="18"/>
          <w:szCs w:val="18"/>
          <w:lang w:eastAsia="zh-CN"/>
        </w:rPr>
        <w:t>I hereby certify that I have disclosed all relevant information with respect to any matter involving a Party that may place me in a real, potential</w:t>
      </w:r>
      <w:r w:rsidR="00A63100" w:rsidRPr="000028EA">
        <w:rPr>
          <w:rFonts w:eastAsia="SimSun"/>
          <w:sz w:val="18"/>
          <w:szCs w:val="18"/>
          <w:lang w:eastAsia="zh-CN"/>
        </w:rPr>
        <w:t>,</w:t>
      </w:r>
      <w:r w:rsidRPr="000028EA">
        <w:rPr>
          <w:rFonts w:eastAsia="SimSun"/>
          <w:sz w:val="18"/>
          <w:szCs w:val="18"/>
          <w:lang w:eastAsia="zh-CN"/>
        </w:rPr>
        <w:t xml:space="preserve"> or perceived conflict of interest situation. </w:t>
      </w:r>
    </w:p>
    <w:p w14:paraId="51312B14" w14:textId="77777777" w:rsidR="00664CA0" w:rsidRPr="000028EA" w:rsidRDefault="00664CA0" w:rsidP="00664CA0">
      <w:pPr>
        <w:pStyle w:val="Default"/>
        <w:ind w:left="400"/>
        <w:rPr>
          <w:sz w:val="18"/>
          <w:szCs w:val="18"/>
        </w:rPr>
      </w:pP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85"/>
        <w:gridCol w:w="3488"/>
        <w:gridCol w:w="415"/>
        <w:gridCol w:w="3653"/>
      </w:tblGrid>
      <w:tr w:rsidR="000028EA" w:rsidRPr="00EB0EEF" w14:paraId="1C3D2200" w14:textId="77777777" w:rsidTr="000028EA">
        <w:tc>
          <w:tcPr>
            <w:tcW w:w="1291" w:type="pct"/>
            <w:tcBorders>
              <w:bottom w:val="single" w:sz="4" w:space="0" w:color="000000" w:themeColor="text1"/>
            </w:tcBorders>
          </w:tcPr>
          <w:p w14:paraId="32C67C84" w14:textId="77777777" w:rsidR="000028EA" w:rsidRPr="00EB0EEF" w:rsidRDefault="000028EA" w:rsidP="0065385B">
            <w:pPr>
              <w:rPr>
                <w:rFonts w:ascii="Arial" w:hAnsi="Arial" w:cs="Arial"/>
              </w:rPr>
            </w:pPr>
          </w:p>
        </w:tc>
        <w:tc>
          <w:tcPr>
            <w:tcW w:w="180" w:type="pct"/>
          </w:tcPr>
          <w:p w14:paraId="52CD994A" w14:textId="77777777" w:rsidR="000028EA" w:rsidRPr="00EB0EEF" w:rsidRDefault="000028EA" w:rsidP="0065385B">
            <w:pPr>
              <w:rPr>
                <w:rFonts w:ascii="Arial" w:hAnsi="Arial" w:cs="Arial"/>
              </w:rPr>
            </w:pPr>
          </w:p>
        </w:tc>
        <w:tc>
          <w:tcPr>
            <w:tcW w:w="1629" w:type="pct"/>
            <w:tcBorders>
              <w:bottom w:val="single" w:sz="4" w:space="0" w:color="auto"/>
            </w:tcBorders>
          </w:tcPr>
          <w:p w14:paraId="08640B38" w14:textId="77777777" w:rsidR="000028EA" w:rsidRPr="00EB0EEF" w:rsidRDefault="000028EA" w:rsidP="0065385B">
            <w:pPr>
              <w:rPr>
                <w:rFonts w:ascii="Arial" w:hAnsi="Arial" w:cs="Arial"/>
              </w:rPr>
            </w:pPr>
          </w:p>
        </w:tc>
        <w:tc>
          <w:tcPr>
            <w:tcW w:w="194" w:type="pct"/>
          </w:tcPr>
          <w:p w14:paraId="03A390E0" w14:textId="65F5239C" w:rsidR="000028EA" w:rsidRPr="00EB0EEF" w:rsidRDefault="000028EA" w:rsidP="0065385B">
            <w:pPr>
              <w:rPr>
                <w:rFonts w:ascii="Arial" w:hAnsi="Arial" w:cs="Arial"/>
              </w:rPr>
            </w:pPr>
          </w:p>
        </w:tc>
        <w:tc>
          <w:tcPr>
            <w:tcW w:w="1706" w:type="pct"/>
            <w:tcBorders>
              <w:bottom w:val="single" w:sz="4" w:space="0" w:color="000000" w:themeColor="text1"/>
            </w:tcBorders>
          </w:tcPr>
          <w:p w14:paraId="34F98857" w14:textId="77777777" w:rsidR="000028EA" w:rsidRDefault="000028EA" w:rsidP="0065385B">
            <w:pPr>
              <w:rPr>
                <w:rFonts w:ascii="Arial" w:hAnsi="Arial" w:cs="Arial"/>
              </w:rPr>
            </w:pPr>
          </w:p>
          <w:p w14:paraId="63F03676" w14:textId="77777777" w:rsidR="000028EA" w:rsidRDefault="000028EA" w:rsidP="0065385B">
            <w:pPr>
              <w:rPr>
                <w:rFonts w:ascii="Arial" w:hAnsi="Arial" w:cs="Arial"/>
              </w:rPr>
            </w:pPr>
          </w:p>
          <w:p w14:paraId="11664A4D" w14:textId="77777777" w:rsidR="000028EA" w:rsidRPr="00EB0EEF" w:rsidRDefault="000028EA" w:rsidP="0065385B">
            <w:pPr>
              <w:rPr>
                <w:rFonts w:ascii="Arial" w:hAnsi="Arial" w:cs="Arial"/>
              </w:rPr>
            </w:pPr>
          </w:p>
        </w:tc>
      </w:tr>
      <w:tr w:rsidR="000028EA" w:rsidRPr="00EB0EEF" w14:paraId="1721BB14" w14:textId="77777777" w:rsidTr="000028EA">
        <w:tc>
          <w:tcPr>
            <w:tcW w:w="1291" w:type="pct"/>
            <w:tcBorders>
              <w:top w:val="single" w:sz="4" w:space="0" w:color="000000" w:themeColor="text1"/>
            </w:tcBorders>
          </w:tcPr>
          <w:p w14:paraId="704E0C0D" w14:textId="24E10797" w:rsidR="000028EA" w:rsidRPr="00EB0EEF" w:rsidRDefault="000028EA" w:rsidP="0065385B">
            <w:pPr>
              <w:rPr>
                <w:rFonts w:ascii="Arial" w:hAnsi="Arial" w:cs="Arial"/>
                <w:sz w:val="18"/>
              </w:rPr>
            </w:pPr>
            <w:r>
              <w:rPr>
                <w:rFonts w:ascii="Arial" w:hAnsi="Arial" w:cs="Arial"/>
                <w:sz w:val="18"/>
              </w:rPr>
              <w:t>Date</w:t>
            </w:r>
          </w:p>
        </w:tc>
        <w:tc>
          <w:tcPr>
            <w:tcW w:w="180" w:type="pct"/>
          </w:tcPr>
          <w:p w14:paraId="77861D3A" w14:textId="77777777" w:rsidR="000028EA" w:rsidRPr="00EB0EEF" w:rsidRDefault="000028EA" w:rsidP="0065385B">
            <w:pPr>
              <w:rPr>
                <w:rFonts w:ascii="Arial" w:hAnsi="Arial" w:cs="Arial"/>
                <w:sz w:val="18"/>
              </w:rPr>
            </w:pPr>
          </w:p>
        </w:tc>
        <w:tc>
          <w:tcPr>
            <w:tcW w:w="1629" w:type="pct"/>
            <w:tcBorders>
              <w:top w:val="single" w:sz="4" w:space="0" w:color="auto"/>
            </w:tcBorders>
          </w:tcPr>
          <w:p w14:paraId="39223C86" w14:textId="7178BD24" w:rsidR="000028EA" w:rsidRPr="00EB0EEF" w:rsidRDefault="000028EA" w:rsidP="0065385B">
            <w:pPr>
              <w:rPr>
                <w:rFonts w:ascii="Arial" w:hAnsi="Arial" w:cs="Arial"/>
                <w:sz w:val="18"/>
              </w:rPr>
            </w:pPr>
            <w:r>
              <w:rPr>
                <w:rFonts w:ascii="Arial" w:hAnsi="Arial" w:cs="Arial"/>
                <w:sz w:val="18"/>
              </w:rPr>
              <w:t>Name</w:t>
            </w:r>
          </w:p>
        </w:tc>
        <w:tc>
          <w:tcPr>
            <w:tcW w:w="194" w:type="pct"/>
          </w:tcPr>
          <w:p w14:paraId="7D313572" w14:textId="010F0AE9" w:rsidR="000028EA" w:rsidRPr="00EB0EEF" w:rsidRDefault="000028EA" w:rsidP="0065385B">
            <w:pPr>
              <w:rPr>
                <w:rFonts w:ascii="Arial" w:hAnsi="Arial" w:cs="Arial"/>
                <w:sz w:val="18"/>
              </w:rPr>
            </w:pPr>
          </w:p>
        </w:tc>
        <w:tc>
          <w:tcPr>
            <w:tcW w:w="1706" w:type="pct"/>
            <w:tcBorders>
              <w:top w:val="single" w:sz="4" w:space="0" w:color="000000" w:themeColor="text1"/>
            </w:tcBorders>
          </w:tcPr>
          <w:p w14:paraId="63DC57D0" w14:textId="32640891" w:rsidR="000028EA" w:rsidRPr="00EB0EEF" w:rsidRDefault="000028EA" w:rsidP="0065385B">
            <w:pPr>
              <w:rPr>
                <w:rFonts w:ascii="Arial" w:hAnsi="Arial" w:cs="Arial"/>
                <w:sz w:val="18"/>
              </w:rPr>
            </w:pPr>
            <w:r>
              <w:rPr>
                <w:rFonts w:ascii="Arial" w:hAnsi="Arial" w:cs="Arial"/>
                <w:sz w:val="18"/>
              </w:rPr>
              <w:t>Signature</w:t>
            </w: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p w14:paraId="573BC547" w14:textId="302FD132" w:rsidR="00285553" w:rsidRDefault="00285553">
      <w:pPr>
        <w:rPr>
          <w:rFonts w:ascii="Arial" w:hAnsi="Arial" w:cs="Arial"/>
          <w:sz w:val="18"/>
          <w:szCs w:val="18"/>
        </w:rPr>
      </w:pPr>
      <w:r>
        <w:rPr>
          <w:rFonts w:ascii="Arial" w:hAnsi="Arial" w:cs="Arial"/>
          <w:sz w:val="18"/>
          <w:szCs w:val="18"/>
        </w:rPr>
        <w:br w:type="page"/>
      </w:r>
    </w:p>
    <w:p w14:paraId="0784529C" w14:textId="42327818" w:rsidR="00285553" w:rsidRPr="00285553" w:rsidRDefault="00285553" w:rsidP="00285553">
      <w:pPr>
        <w:pStyle w:val="pCODR01AppendixHeader"/>
        <w:rPr>
          <w:rFonts w:ascii="Arial" w:hAnsi="Arial" w:cs="Arial"/>
          <w:color w:val="0067B9"/>
          <w:spacing w:val="0"/>
          <w:kern w:val="0"/>
          <w:sz w:val="24"/>
          <w:szCs w:val="28"/>
        </w:rPr>
      </w:pPr>
      <w:r w:rsidRPr="00285553">
        <w:rPr>
          <w:rFonts w:ascii="Arial" w:hAnsi="Arial" w:cs="Arial"/>
          <w:color w:val="0067B9"/>
          <w:spacing w:val="0"/>
          <w:kern w:val="0"/>
          <w:sz w:val="24"/>
          <w:szCs w:val="28"/>
        </w:rPr>
        <w:lastRenderedPageBreak/>
        <w:t xml:space="preserve">Appendix B: Provincial Funding of Treatments for </w:t>
      </w:r>
      <w:r>
        <w:rPr>
          <w:rFonts w:ascii="Arial" w:hAnsi="Arial" w:cs="Arial"/>
          <w:color w:val="0067B9"/>
          <w:spacing w:val="0"/>
          <w:kern w:val="0"/>
          <w:sz w:val="24"/>
          <w:szCs w:val="28"/>
        </w:rPr>
        <w:t>Breast Cancer</w:t>
      </w:r>
    </w:p>
    <w:p w14:paraId="7A61DBBF" w14:textId="108937E6" w:rsidR="00285553" w:rsidRPr="00285553" w:rsidRDefault="00285553" w:rsidP="00285553">
      <w:pPr>
        <w:pStyle w:val="pCODR01AppendixHeader"/>
        <w:rPr>
          <w:rFonts w:ascii="Arial" w:hAnsi="Arial" w:cs="Arial"/>
          <w:sz w:val="20"/>
          <w:szCs w:val="20"/>
        </w:rPr>
      </w:pPr>
      <w:r w:rsidRPr="00285553">
        <w:rPr>
          <w:rFonts w:ascii="Arial" w:hAnsi="Arial" w:cs="Arial"/>
          <w:sz w:val="20"/>
          <w:szCs w:val="20"/>
        </w:rPr>
        <w:t xml:space="preserve">As of </w:t>
      </w:r>
      <w:r w:rsidRPr="00285553">
        <w:rPr>
          <w:rFonts w:ascii="Arial" w:hAnsi="Arial" w:cs="Arial"/>
          <w:sz w:val="20"/>
          <w:szCs w:val="20"/>
        </w:rPr>
        <w:t>October 5, 2018</w:t>
      </w:r>
    </w:p>
    <w:p w14:paraId="17382D9E" w14:textId="77777777" w:rsidR="00285553" w:rsidRPr="00285553" w:rsidRDefault="00285553" w:rsidP="00285553">
      <w:pPr>
        <w:pStyle w:val="pCODR01AppendixHeader"/>
        <w:rPr>
          <w:rFonts w:ascii="Arial" w:hAnsi="Arial" w:cs="Arial"/>
          <w:sz w:val="20"/>
          <w:szCs w:val="20"/>
        </w:rPr>
      </w:pPr>
      <w:r w:rsidRPr="00285553">
        <w:rPr>
          <w:rFonts w:ascii="Arial" w:hAnsi="Arial" w:cs="Arial"/>
          <w:sz w:val="20"/>
          <w:szCs w:val="20"/>
        </w:rPr>
        <w:t>NOTE: All drugs subjected to eligibility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934"/>
        <w:gridCol w:w="2824"/>
        <w:gridCol w:w="3459"/>
      </w:tblGrid>
      <w:tr w:rsidR="00285553" w:rsidRPr="00285553" w14:paraId="004843C2" w14:textId="77777777" w:rsidTr="00285553">
        <w:trPr>
          <w:trHeight w:val="147"/>
        </w:trPr>
        <w:tc>
          <w:tcPr>
            <w:tcW w:w="934" w:type="dxa"/>
            <w:shd w:val="clear" w:color="auto" w:fill="F2F2F2" w:themeFill="background1" w:themeFillShade="F2"/>
          </w:tcPr>
          <w:p w14:paraId="613ACA5B" w14:textId="77777777" w:rsidR="00285553" w:rsidRPr="00285553" w:rsidRDefault="00285553" w:rsidP="0003367F">
            <w:pPr>
              <w:spacing w:after="0"/>
              <w:contextualSpacing/>
              <w:jc w:val="center"/>
              <w:rPr>
                <w:rFonts w:ascii="Arial" w:hAnsi="Arial" w:cs="Arial"/>
                <w:b/>
                <w:bCs/>
                <w:szCs w:val="20"/>
              </w:rPr>
            </w:pPr>
          </w:p>
        </w:tc>
        <w:tc>
          <w:tcPr>
            <w:tcW w:w="2824" w:type="dxa"/>
            <w:shd w:val="clear" w:color="auto" w:fill="F2F2F2" w:themeFill="background1" w:themeFillShade="F2"/>
          </w:tcPr>
          <w:p w14:paraId="2771FB99" w14:textId="67CDFF60" w:rsidR="00285553" w:rsidRPr="00285553" w:rsidRDefault="00285553" w:rsidP="0003367F">
            <w:pPr>
              <w:spacing w:after="0"/>
              <w:contextualSpacing/>
              <w:jc w:val="center"/>
              <w:rPr>
                <w:rFonts w:ascii="Arial" w:hAnsi="Arial" w:cs="Arial"/>
                <w:b/>
                <w:bCs/>
                <w:szCs w:val="20"/>
              </w:rPr>
            </w:pPr>
            <w:proofErr w:type="spellStart"/>
            <w:r w:rsidRPr="00285553">
              <w:rPr>
                <w:rFonts w:ascii="Arial" w:hAnsi="Arial" w:cs="Arial"/>
                <w:b/>
                <w:bCs/>
                <w:szCs w:val="20"/>
              </w:rPr>
              <w:t>Palbociclib</w:t>
            </w:r>
            <w:proofErr w:type="spellEnd"/>
            <w:r w:rsidRPr="00285553">
              <w:rPr>
                <w:rFonts w:ascii="Arial" w:hAnsi="Arial" w:cs="Arial"/>
                <w:b/>
                <w:bCs/>
                <w:szCs w:val="20"/>
              </w:rPr>
              <w:t xml:space="preserve"> plus letrozole</w:t>
            </w:r>
          </w:p>
        </w:tc>
        <w:tc>
          <w:tcPr>
            <w:tcW w:w="3459" w:type="dxa"/>
            <w:shd w:val="clear" w:color="auto" w:fill="F2F2F2" w:themeFill="background1" w:themeFillShade="F2"/>
          </w:tcPr>
          <w:p w14:paraId="5ACDDDB2" w14:textId="6F0B280E" w:rsidR="00285553" w:rsidRPr="00285553" w:rsidRDefault="00285553" w:rsidP="0003367F">
            <w:pPr>
              <w:spacing w:after="0"/>
              <w:contextualSpacing/>
              <w:jc w:val="center"/>
              <w:rPr>
                <w:rFonts w:ascii="Arial" w:hAnsi="Arial" w:cs="Arial"/>
                <w:b/>
                <w:bCs/>
                <w:szCs w:val="20"/>
              </w:rPr>
            </w:pPr>
            <w:proofErr w:type="spellStart"/>
            <w:r w:rsidRPr="00285553">
              <w:rPr>
                <w:rFonts w:ascii="Arial" w:hAnsi="Arial" w:cs="Arial"/>
                <w:b/>
                <w:bCs/>
                <w:szCs w:val="20"/>
              </w:rPr>
              <w:t>Abemaciclib</w:t>
            </w:r>
            <w:proofErr w:type="spellEnd"/>
            <w:r w:rsidRPr="00285553">
              <w:rPr>
                <w:rFonts w:ascii="Arial" w:hAnsi="Arial" w:cs="Arial"/>
                <w:b/>
                <w:bCs/>
                <w:szCs w:val="20"/>
              </w:rPr>
              <w:t xml:space="preserve"> </w:t>
            </w:r>
            <w:r>
              <w:rPr>
                <w:rFonts w:ascii="Arial" w:hAnsi="Arial" w:cs="Arial"/>
                <w:b/>
                <w:bCs/>
                <w:szCs w:val="20"/>
              </w:rPr>
              <w:t>plus</w:t>
            </w:r>
            <w:r w:rsidRPr="00285553">
              <w:rPr>
                <w:rFonts w:ascii="Arial" w:hAnsi="Arial" w:cs="Arial"/>
                <w:b/>
                <w:bCs/>
                <w:szCs w:val="20"/>
              </w:rPr>
              <w:t xml:space="preserve"> aromatase inhibitor or </w:t>
            </w:r>
            <w:proofErr w:type="spellStart"/>
            <w:r w:rsidRPr="00285553">
              <w:rPr>
                <w:rFonts w:ascii="Arial" w:hAnsi="Arial" w:cs="Arial"/>
                <w:b/>
                <w:bCs/>
                <w:szCs w:val="20"/>
              </w:rPr>
              <w:t>fulvestrant</w:t>
            </w:r>
            <w:proofErr w:type="spellEnd"/>
            <w:r w:rsidRPr="00285553">
              <w:rPr>
                <w:rFonts w:ascii="Arial" w:hAnsi="Arial" w:cs="Arial"/>
                <w:b/>
                <w:bCs/>
                <w:szCs w:val="20"/>
              </w:rPr>
              <w:t>*</w:t>
            </w:r>
          </w:p>
        </w:tc>
      </w:tr>
      <w:tr w:rsidR="00285553" w:rsidRPr="00285553" w14:paraId="3EC1A48A" w14:textId="77777777" w:rsidTr="00285553">
        <w:trPr>
          <w:trHeight w:val="44"/>
        </w:trPr>
        <w:tc>
          <w:tcPr>
            <w:tcW w:w="934" w:type="dxa"/>
            <w:shd w:val="clear" w:color="auto" w:fill="auto"/>
            <w:hideMark/>
          </w:tcPr>
          <w:p w14:paraId="6F5C08CB" w14:textId="77777777" w:rsidR="00285553" w:rsidRPr="00285553" w:rsidRDefault="00285553" w:rsidP="0003367F">
            <w:pPr>
              <w:spacing w:after="0"/>
              <w:contextualSpacing/>
              <w:jc w:val="center"/>
              <w:rPr>
                <w:rFonts w:ascii="Arial" w:hAnsi="Arial" w:cs="Arial"/>
                <w:szCs w:val="20"/>
              </w:rPr>
            </w:pPr>
            <w:r w:rsidRPr="00285553">
              <w:rPr>
                <w:rFonts w:ascii="Arial" w:hAnsi="Arial" w:cs="Arial"/>
                <w:szCs w:val="20"/>
              </w:rPr>
              <w:t>BC</w:t>
            </w:r>
          </w:p>
        </w:tc>
        <w:tc>
          <w:tcPr>
            <w:tcW w:w="2824" w:type="dxa"/>
          </w:tcPr>
          <w:p w14:paraId="38CA511A" w14:textId="77777777" w:rsidR="00285553" w:rsidRPr="00285553" w:rsidRDefault="00285553" w:rsidP="0003367F">
            <w:pPr>
              <w:spacing w:after="0"/>
              <w:contextualSpacing/>
              <w:jc w:val="center"/>
              <w:rPr>
                <w:rFonts w:ascii="Arial" w:hAnsi="Arial" w:cs="Arial"/>
                <w:szCs w:val="20"/>
              </w:rPr>
            </w:pPr>
            <w:r w:rsidRPr="00285553">
              <w:rPr>
                <w:rFonts w:ascii="Arial" w:hAnsi="Arial" w:cs="Arial"/>
                <w:szCs w:val="20"/>
              </w:rPr>
              <w:sym w:font="Wingdings 2" w:char="F050"/>
            </w:r>
          </w:p>
        </w:tc>
        <w:tc>
          <w:tcPr>
            <w:tcW w:w="3459" w:type="dxa"/>
          </w:tcPr>
          <w:p w14:paraId="44963653" w14:textId="7B322EB8" w:rsidR="00285553" w:rsidRPr="00285553" w:rsidRDefault="00285553" w:rsidP="0003367F">
            <w:pPr>
              <w:spacing w:after="0"/>
              <w:contextualSpacing/>
              <w:jc w:val="center"/>
              <w:rPr>
                <w:rFonts w:ascii="Arial" w:hAnsi="Arial" w:cs="Arial"/>
                <w:szCs w:val="20"/>
              </w:rPr>
            </w:pPr>
          </w:p>
        </w:tc>
      </w:tr>
      <w:tr w:rsidR="00285553" w:rsidRPr="00285553" w14:paraId="71A0DA16" w14:textId="77777777" w:rsidTr="00285553">
        <w:trPr>
          <w:trHeight w:val="63"/>
        </w:trPr>
        <w:tc>
          <w:tcPr>
            <w:tcW w:w="934" w:type="dxa"/>
            <w:shd w:val="clear" w:color="auto" w:fill="auto"/>
            <w:hideMark/>
          </w:tcPr>
          <w:p w14:paraId="25D21C33" w14:textId="77777777" w:rsidR="00285553" w:rsidRPr="00285553" w:rsidRDefault="00285553" w:rsidP="0003367F">
            <w:pPr>
              <w:spacing w:after="0"/>
              <w:contextualSpacing/>
              <w:jc w:val="center"/>
              <w:rPr>
                <w:rFonts w:ascii="Arial" w:hAnsi="Arial" w:cs="Arial"/>
                <w:szCs w:val="20"/>
              </w:rPr>
            </w:pPr>
            <w:r w:rsidRPr="00285553">
              <w:rPr>
                <w:rFonts w:ascii="Arial" w:hAnsi="Arial" w:cs="Arial"/>
                <w:szCs w:val="20"/>
              </w:rPr>
              <w:t>AB</w:t>
            </w:r>
          </w:p>
        </w:tc>
        <w:tc>
          <w:tcPr>
            <w:tcW w:w="2824" w:type="dxa"/>
          </w:tcPr>
          <w:p w14:paraId="089090BF" w14:textId="77777777" w:rsidR="00285553" w:rsidRPr="00285553" w:rsidRDefault="00285553" w:rsidP="0003367F">
            <w:pPr>
              <w:spacing w:after="0"/>
              <w:contextualSpacing/>
              <w:jc w:val="center"/>
              <w:rPr>
                <w:rFonts w:ascii="Arial" w:hAnsi="Arial" w:cs="Arial"/>
                <w:szCs w:val="20"/>
              </w:rPr>
            </w:pPr>
            <w:r w:rsidRPr="00285553">
              <w:rPr>
                <w:rFonts w:ascii="Arial" w:hAnsi="Arial" w:cs="Arial"/>
                <w:szCs w:val="20"/>
              </w:rPr>
              <w:sym w:font="Wingdings 2" w:char="F050"/>
            </w:r>
          </w:p>
        </w:tc>
        <w:tc>
          <w:tcPr>
            <w:tcW w:w="3459" w:type="dxa"/>
          </w:tcPr>
          <w:p w14:paraId="2D0D960D" w14:textId="4F374393" w:rsidR="00285553" w:rsidRPr="00285553" w:rsidRDefault="00285553" w:rsidP="0003367F">
            <w:pPr>
              <w:spacing w:after="0"/>
              <w:contextualSpacing/>
              <w:jc w:val="center"/>
              <w:rPr>
                <w:rFonts w:ascii="Arial" w:hAnsi="Arial" w:cs="Arial"/>
                <w:szCs w:val="20"/>
              </w:rPr>
            </w:pPr>
          </w:p>
        </w:tc>
      </w:tr>
      <w:tr w:rsidR="00285553" w:rsidRPr="00285553" w14:paraId="01EBF95F" w14:textId="77777777" w:rsidTr="00285553">
        <w:trPr>
          <w:trHeight w:val="11"/>
        </w:trPr>
        <w:tc>
          <w:tcPr>
            <w:tcW w:w="934" w:type="dxa"/>
            <w:shd w:val="clear" w:color="auto" w:fill="auto"/>
            <w:hideMark/>
          </w:tcPr>
          <w:p w14:paraId="42DB7F65" w14:textId="77777777" w:rsidR="00285553" w:rsidRPr="00285553" w:rsidRDefault="00285553" w:rsidP="0003367F">
            <w:pPr>
              <w:spacing w:after="0"/>
              <w:contextualSpacing/>
              <w:jc w:val="center"/>
              <w:rPr>
                <w:rFonts w:ascii="Arial" w:hAnsi="Arial" w:cs="Arial"/>
                <w:szCs w:val="20"/>
              </w:rPr>
            </w:pPr>
            <w:r w:rsidRPr="00285553">
              <w:rPr>
                <w:rFonts w:ascii="Arial" w:hAnsi="Arial" w:cs="Arial"/>
                <w:szCs w:val="20"/>
              </w:rPr>
              <w:t>SK</w:t>
            </w:r>
          </w:p>
        </w:tc>
        <w:tc>
          <w:tcPr>
            <w:tcW w:w="2824" w:type="dxa"/>
          </w:tcPr>
          <w:p w14:paraId="79B313D7" w14:textId="77777777" w:rsidR="00285553" w:rsidRPr="00285553" w:rsidRDefault="00285553" w:rsidP="0003367F">
            <w:pPr>
              <w:spacing w:after="0"/>
              <w:contextualSpacing/>
              <w:jc w:val="center"/>
              <w:rPr>
                <w:rFonts w:ascii="Arial" w:hAnsi="Arial" w:cs="Arial"/>
                <w:szCs w:val="20"/>
              </w:rPr>
            </w:pPr>
            <w:r w:rsidRPr="00285553">
              <w:rPr>
                <w:rFonts w:ascii="Arial" w:hAnsi="Arial" w:cs="Arial"/>
                <w:szCs w:val="20"/>
              </w:rPr>
              <w:sym w:font="Wingdings 2" w:char="F050"/>
            </w:r>
          </w:p>
        </w:tc>
        <w:tc>
          <w:tcPr>
            <w:tcW w:w="3459" w:type="dxa"/>
          </w:tcPr>
          <w:p w14:paraId="660D0A40" w14:textId="16284CA0" w:rsidR="00285553" w:rsidRPr="00285553" w:rsidRDefault="00285553" w:rsidP="0003367F">
            <w:pPr>
              <w:spacing w:after="0"/>
              <w:contextualSpacing/>
              <w:jc w:val="center"/>
              <w:rPr>
                <w:rFonts w:ascii="Arial" w:hAnsi="Arial" w:cs="Arial"/>
                <w:szCs w:val="20"/>
              </w:rPr>
            </w:pPr>
          </w:p>
        </w:tc>
      </w:tr>
      <w:tr w:rsidR="00285553" w:rsidRPr="00285553" w14:paraId="64988CFA" w14:textId="77777777" w:rsidTr="00285553">
        <w:trPr>
          <w:trHeight w:val="11"/>
        </w:trPr>
        <w:tc>
          <w:tcPr>
            <w:tcW w:w="934" w:type="dxa"/>
            <w:shd w:val="clear" w:color="auto" w:fill="auto"/>
            <w:hideMark/>
          </w:tcPr>
          <w:p w14:paraId="54CA5AF2" w14:textId="77777777" w:rsidR="00285553" w:rsidRPr="00285553" w:rsidRDefault="00285553" w:rsidP="0003367F">
            <w:pPr>
              <w:spacing w:after="0"/>
              <w:contextualSpacing/>
              <w:jc w:val="center"/>
              <w:rPr>
                <w:rFonts w:ascii="Arial" w:hAnsi="Arial" w:cs="Arial"/>
                <w:szCs w:val="20"/>
              </w:rPr>
            </w:pPr>
            <w:r w:rsidRPr="00285553">
              <w:rPr>
                <w:rFonts w:ascii="Arial" w:hAnsi="Arial" w:cs="Arial"/>
                <w:szCs w:val="20"/>
              </w:rPr>
              <w:t>MB</w:t>
            </w:r>
          </w:p>
        </w:tc>
        <w:tc>
          <w:tcPr>
            <w:tcW w:w="2824" w:type="dxa"/>
          </w:tcPr>
          <w:p w14:paraId="720FE0E9" w14:textId="77777777" w:rsidR="00285553" w:rsidRPr="00285553" w:rsidRDefault="00285553" w:rsidP="0003367F">
            <w:pPr>
              <w:spacing w:after="0"/>
              <w:contextualSpacing/>
              <w:jc w:val="center"/>
              <w:rPr>
                <w:rFonts w:ascii="Arial" w:hAnsi="Arial" w:cs="Arial"/>
                <w:szCs w:val="20"/>
              </w:rPr>
            </w:pPr>
            <w:r w:rsidRPr="00285553">
              <w:rPr>
                <w:rFonts w:ascii="Arial" w:hAnsi="Arial" w:cs="Arial"/>
                <w:szCs w:val="20"/>
              </w:rPr>
              <w:sym w:font="Wingdings 2" w:char="F050"/>
            </w:r>
          </w:p>
        </w:tc>
        <w:tc>
          <w:tcPr>
            <w:tcW w:w="3459" w:type="dxa"/>
          </w:tcPr>
          <w:p w14:paraId="66344A2C" w14:textId="23105105" w:rsidR="00285553" w:rsidRPr="00285553" w:rsidRDefault="00285553" w:rsidP="0003367F">
            <w:pPr>
              <w:spacing w:after="0"/>
              <w:contextualSpacing/>
              <w:jc w:val="center"/>
              <w:rPr>
                <w:rFonts w:ascii="Arial" w:hAnsi="Arial" w:cs="Arial"/>
                <w:szCs w:val="20"/>
              </w:rPr>
            </w:pPr>
          </w:p>
        </w:tc>
      </w:tr>
      <w:tr w:rsidR="00285553" w:rsidRPr="00285553" w14:paraId="6CB162F1" w14:textId="77777777" w:rsidTr="00285553">
        <w:trPr>
          <w:trHeight w:val="11"/>
        </w:trPr>
        <w:tc>
          <w:tcPr>
            <w:tcW w:w="934" w:type="dxa"/>
            <w:shd w:val="clear" w:color="auto" w:fill="auto"/>
            <w:hideMark/>
          </w:tcPr>
          <w:p w14:paraId="4B653BF2" w14:textId="77777777" w:rsidR="00285553" w:rsidRPr="00285553" w:rsidRDefault="00285553" w:rsidP="0003367F">
            <w:pPr>
              <w:spacing w:after="0"/>
              <w:contextualSpacing/>
              <w:jc w:val="center"/>
              <w:rPr>
                <w:rFonts w:ascii="Arial" w:hAnsi="Arial" w:cs="Arial"/>
                <w:szCs w:val="20"/>
              </w:rPr>
            </w:pPr>
            <w:r w:rsidRPr="00285553">
              <w:rPr>
                <w:rFonts w:ascii="Arial" w:hAnsi="Arial" w:cs="Arial"/>
                <w:szCs w:val="20"/>
              </w:rPr>
              <w:t>ON</w:t>
            </w:r>
          </w:p>
        </w:tc>
        <w:tc>
          <w:tcPr>
            <w:tcW w:w="2824" w:type="dxa"/>
          </w:tcPr>
          <w:p w14:paraId="05B986B0" w14:textId="77777777" w:rsidR="00285553" w:rsidRPr="00285553" w:rsidRDefault="00285553" w:rsidP="0003367F">
            <w:pPr>
              <w:spacing w:after="0"/>
              <w:contextualSpacing/>
              <w:jc w:val="center"/>
              <w:rPr>
                <w:rFonts w:ascii="Arial" w:hAnsi="Arial" w:cs="Arial"/>
                <w:szCs w:val="20"/>
              </w:rPr>
            </w:pPr>
            <w:r w:rsidRPr="00285553">
              <w:rPr>
                <w:rFonts w:ascii="Arial" w:hAnsi="Arial" w:cs="Arial"/>
                <w:szCs w:val="20"/>
              </w:rPr>
              <w:sym w:font="Wingdings 2" w:char="F050"/>
            </w:r>
          </w:p>
        </w:tc>
        <w:tc>
          <w:tcPr>
            <w:tcW w:w="3459" w:type="dxa"/>
          </w:tcPr>
          <w:p w14:paraId="3970C443" w14:textId="4400FDD0" w:rsidR="00285553" w:rsidRPr="00285553" w:rsidRDefault="00285553" w:rsidP="0003367F">
            <w:pPr>
              <w:spacing w:after="0"/>
              <w:contextualSpacing/>
              <w:jc w:val="center"/>
              <w:rPr>
                <w:rFonts w:ascii="Arial" w:hAnsi="Arial" w:cs="Arial"/>
                <w:szCs w:val="20"/>
              </w:rPr>
            </w:pPr>
          </w:p>
        </w:tc>
      </w:tr>
      <w:tr w:rsidR="00285553" w:rsidRPr="00285553" w14:paraId="241276A1" w14:textId="77777777" w:rsidTr="00285553">
        <w:trPr>
          <w:trHeight w:val="69"/>
        </w:trPr>
        <w:tc>
          <w:tcPr>
            <w:tcW w:w="934" w:type="dxa"/>
            <w:shd w:val="clear" w:color="auto" w:fill="auto"/>
            <w:hideMark/>
          </w:tcPr>
          <w:p w14:paraId="6C2DBA60" w14:textId="77777777" w:rsidR="00285553" w:rsidRPr="00285553" w:rsidRDefault="00285553" w:rsidP="0003367F">
            <w:pPr>
              <w:spacing w:after="0"/>
              <w:contextualSpacing/>
              <w:jc w:val="center"/>
              <w:rPr>
                <w:rFonts w:ascii="Arial" w:hAnsi="Arial" w:cs="Arial"/>
                <w:szCs w:val="20"/>
              </w:rPr>
            </w:pPr>
            <w:r w:rsidRPr="00285553">
              <w:rPr>
                <w:rFonts w:ascii="Arial" w:hAnsi="Arial" w:cs="Arial"/>
                <w:szCs w:val="20"/>
              </w:rPr>
              <w:t>NB</w:t>
            </w:r>
          </w:p>
        </w:tc>
        <w:tc>
          <w:tcPr>
            <w:tcW w:w="2824" w:type="dxa"/>
          </w:tcPr>
          <w:p w14:paraId="3153D469" w14:textId="77777777" w:rsidR="00285553" w:rsidRPr="00285553" w:rsidRDefault="00285553" w:rsidP="0003367F">
            <w:pPr>
              <w:spacing w:after="0"/>
              <w:contextualSpacing/>
              <w:jc w:val="center"/>
              <w:rPr>
                <w:rFonts w:ascii="Arial" w:hAnsi="Arial" w:cs="Arial"/>
                <w:szCs w:val="20"/>
              </w:rPr>
            </w:pPr>
            <w:r w:rsidRPr="00285553">
              <w:rPr>
                <w:rFonts w:ascii="Arial" w:hAnsi="Arial" w:cs="Arial"/>
                <w:szCs w:val="20"/>
              </w:rPr>
              <w:sym w:font="Wingdings 2" w:char="F050"/>
            </w:r>
          </w:p>
        </w:tc>
        <w:tc>
          <w:tcPr>
            <w:tcW w:w="3459" w:type="dxa"/>
          </w:tcPr>
          <w:p w14:paraId="78088A65" w14:textId="7515FBF6" w:rsidR="00285553" w:rsidRPr="00285553" w:rsidRDefault="00285553" w:rsidP="0003367F">
            <w:pPr>
              <w:spacing w:after="0"/>
              <w:contextualSpacing/>
              <w:jc w:val="center"/>
              <w:rPr>
                <w:rFonts w:ascii="Arial" w:hAnsi="Arial" w:cs="Arial"/>
                <w:szCs w:val="20"/>
              </w:rPr>
            </w:pPr>
          </w:p>
        </w:tc>
      </w:tr>
      <w:tr w:rsidR="00285553" w:rsidRPr="00285553" w14:paraId="2B6A23E8" w14:textId="77777777" w:rsidTr="00285553">
        <w:trPr>
          <w:trHeight w:val="11"/>
        </w:trPr>
        <w:tc>
          <w:tcPr>
            <w:tcW w:w="934" w:type="dxa"/>
            <w:shd w:val="clear" w:color="auto" w:fill="auto"/>
            <w:hideMark/>
          </w:tcPr>
          <w:p w14:paraId="735DB329" w14:textId="77777777" w:rsidR="00285553" w:rsidRPr="00285553" w:rsidRDefault="00285553" w:rsidP="0003367F">
            <w:pPr>
              <w:spacing w:after="0"/>
              <w:contextualSpacing/>
              <w:jc w:val="center"/>
              <w:rPr>
                <w:rFonts w:ascii="Arial" w:hAnsi="Arial" w:cs="Arial"/>
                <w:szCs w:val="20"/>
              </w:rPr>
            </w:pPr>
            <w:r w:rsidRPr="00285553">
              <w:rPr>
                <w:rFonts w:ascii="Arial" w:hAnsi="Arial" w:cs="Arial"/>
                <w:szCs w:val="20"/>
              </w:rPr>
              <w:t>NS</w:t>
            </w:r>
          </w:p>
        </w:tc>
        <w:tc>
          <w:tcPr>
            <w:tcW w:w="2824" w:type="dxa"/>
          </w:tcPr>
          <w:p w14:paraId="6CAF2055" w14:textId="77777777" w:rsidR="00285553" w:rsidRPr="00285553" w:rsidRDefault="00285553" w:rsidP="0003367F">
            <w:pPr>
              <w:spacing w:after="0"/>
              <w:contextualSpacing/>
              <w:jc w:val="center"/>
              <w:rPr>
                <w:rFonts w:ascii="Arial" w:hAnsi="Arial" w:cs="Arial"/>
                <w:szCs w:val="20"/>
              </w:rPr>
            </w:pPr>
            <w:r w:rsidRPr="00285553">
              <w:rPr>
                <w:rFonts w:ascii="Arial" w:hAnsi="Arial" w:cs="Arial"/>
                <w:szCs w:val="20"/>
              </w:rPr>
              <w:sym w:font="Wingdings 2" w:char="F050"/>
            </w:r>
          </w:p>
        </w:tc>
        <w:tc>
          <w:tcPr>
            <w:tcW w:w="3459" w:type="dxa"/>
          </w:tcPr>
          <w:p w14:paraId="15784136" w14:textId="676FFFAE" w:rsidR="00285553" w:rsidRPr="00285553" w:rsidRDefault="00285553" w:rsidP="0003367F">
            <w:pPr>
              <w:spacing w:after="0"/>
              <w:contextualSpacing/>
              <w:jc w:val="center"/>
              <w:rPr>
                <w:rFonts w:ascii="Arial" w:hAnsi="Arial" w:cs="Arial"/>
                <w:szCs w:val="20"/>
              </w:rPr>
            </w:pPr>
          </w:p>
        </w:tc>
      </w:tr>
      <w:tr w:rsidR="00285553" w:rsidRPr="00285553" w14:paraId="1156C3E4" w14:textId="77777777" w:rsidTr="00285553">
        <w:trPr>
          <w:trHeight w:val="108"/>
        </w:trPr>
        <w:tc>
          <w:tcPr>
            <w:tcW w:w="934" w:type="dxa"/>
            <w:shd w:val="clear" w:color="auto" w:fill="auto"/>
            <w:hideMark/>
          </w:tcPr>
          <w:p w14:paraId="21F05379" w14:textId="77777777" w:rsidR="00285553" w:rsidRPr="00285553" w:rsidRDefault="00285553" w:rsidP="0003367F">
            <w:pPr>
              <w:spacing w:after="0"/>
              <w:contextualSpacing/>
              <w:jc w:val="center"/>
              <w:rPr>
                <w:rFonts w:ascii="Arial" w:hAnsi="Arial" w:cs="Arial"/>
                <w:szCs w:val="20"/>
              </w:rPr>
            </w:pPr>
            <w:r w:rsidRPr="00285553">
              <w:rPr>
                <w:rFonts w:ascii="Arial" w:hAnsi="Arial" w:cs="Arial"/>
                <w:szCs w:val="20"/>
              </w:rPr>
              <w:t>NL</w:t>
            </w:r>
          </w:p>
        </w:tc>
        <w:tc>
          <w:tcPr>
            <w:tcW w:w="2824" w:type="dxa"/>
          </w:tcPr>
          <w:p w14:paraId="1BBF1AC8" w14:textId="77777777" w:rsidR="00285553" w:rsidRPr="00285553" w:rsidRDefault="00285553" w:rsidP="0003367F">
            <w:pPr>
              <w:spacing w:after="0"/>
              <w:contextualSpacing/>
              <w:jc w:val="center"/>
              <w:rPr>
                <w:rFonts w:ascii="Arial" w:hAnsi="Arial" w:cs="Arial"/>
                <w:szCs w:val="20"/>
              </w:rPr>
            </w:pPr>
            <w:r w:rsidRPr="00285553">
              <w:rPr>
                <w:rFonts w:ascii="Arial" w:hAnsi="Arial" w:cs="Arial"/>
                <w:szCs w:val="20"/>
              </w:rPr>
              <w:sym w:font="Wingdings 2" w:char="F050"/>
            </w:r>
          </w:p>
        </w:tc>
        <w:tc>
          <w:tcPr>
            <w:tcW w:w="3459" w:type="dxa"/>
          </w:tcPr>
          <w:p w14:paraId="0D732B9F" w14:textId="4EB0A508" w:rsidR="00285553" w:rsidRPr="00285553" w:rsidRDefault="00285553" w:rsidP="0003367F">
            <w:pPr>
              <w:spacing w:after="0"/>
              <w:contextualSpacing/>
              <w:jc w:val="center"/>
              <w:rPr>
                <w:rFonts w:ascii="Arial" w:hAnsi="Arial" w:cs="Arial"/>
                <w:szCs w:val="20"/>
              </w:rPr>
            </w:pPr>
          </w:p>
        </w:tc>
      </w:tr>
      <w:tr w:rsidR="00285553" w:rsidRPr="00285553" w14:paraId="44B3BA5B" w14:textId="77777777" w:rsidTr="00285553">
        <w:trPr>
          <w:trHeight w:val="11"/>
        </w:trPr>
        <w:tc>
          <w:tcPr>
            <w:tcW w:w="934" w:type="dxa"/>
            <w:shd w:val="clear" w:color="auto" w:fill="auto"/>
            <w:hideMark/>
          </w:tcPr>
          <w:p w14:paraId="48A5C6C3" w14:textId="77777777" w:rsidR="00285553" w:rsidRPr="00285553" w:rsidRDefault="00285553" w:rsidP="0003367F">
            <w:pPr>
              <w:spacing w:after="0"/>
              <w:contextualSpacing/>
              <w:jc w:val="center"/>
              <w:rPr>
                <w:rFonts w:ascii="Arial" w:hAnsi="Arial" w:cs="Arial"/>
                <w:szCs w:val="20"/>
              </w:rPr>
            </w:pPr>
            <w:r w:rsidRPr="00285553">
              <w:rPr>
                <w:rFonts w:ascii="Arial" w:hAnsi="Arial" w:cs="Arial"/>
                <w:szCs w:val="20"/>
              </w:rPr>
              <w:t>PEI</w:t>
            </w:r>
          </w:p>
        </w:tc>
        <w:tc>
          <w:tcPr>
            <w:tcW w:w="2824" w:type="dxa"/>
          </w:tcPr>
          <w:p w14:paraId="1AC704E1" w14:textId="77777777" w:rsidR="00285553" w:rsidRPr="00285553" w:rsidRDefault="00285553" w:rsidP="0003367F">
            <w:pPr>
              <w:spacing w:after="0"/>
              <w:contextualSpacing/>
              <w:jc w:val="center"/>
              <w:rPr>
                <w:rFonts w:ascii="Arial" w:hAnsi="Arial" w:cs="Arial"/>
                <w:szCs w:val="20"/>
              </w:rPr>
            </w:pPr>
            <w:r w:rsidRPr="00285553">
              <w:rPr>
                <w:rFonts w:ascii="Arial" w:hAnsi="Arial" w:cs="Arial"/>
                <w:szCs w:val="20"/>
              </w:rPr>
              <w:t>†</w:t>
            </w:r>
          </w:p>
        </w:tc>
        <w:tc>
          <w:tcPr>
            <w:tcW w:w="3459" w:type="dxa"/>
          </w:tcPr>
          <w:p w14:paraId="6012DDA4" w14:textId="69B7F02E" w:rsidR="00285553" w:rsidRPr="00285553" w:rsidRDefault="00285553" w:rsidP="0003367F">
            <w:pPr>
              <w:spacing w:after="0"/>
              <w:contextualSpacing/>
              <w:jc w:val="center"/>
              <w:rPr>
                <w:rFonts w:ascii="Arial" w:hAnsi="Arial" w:cs="Arial"/>
                <w:szCs w:val="20"/>
              </w:rPr>
            </w:pPr>
          </w:p>
        </w:tc>
      </w:tr>
    </w:tbl>
    <w:p w14:paraId="3E00FB6B" w14:textId="63E16393" w:rsidR="00285553" w:rsidRPr="00285553" w:rsidRDefault="00285553" w:rsidP="00285553">
      <w:pPr>
        <w:spacing w:line="276" w:lineRule="auto"/>
        <w:rPr>
          <w:rFonts w:ascii="Arial" w:eastAsia="Calibri" w:hAnsi="Arial" w:cs="Arial"/>
          <w:szCs w:val="20"/>
        </w:rPr>
      </w:pPr>
      <w:r w:rsidRPr="00285553">
        <w:rPr>
          <w:rFonts w:ascii="Arial" w:hAnsi="Arial" w:cs="Arial"/>
          <w:szCs w:val="20"/>
        </w:rPr>
        <w:t xml:space="preserve">Legend: </w:t>
      </w:r>
      <w:r w:rsidRPr="00285553">
        <w:rPr>
          <w:rFonts w:ascii="Arial" w:hAnsi="Arial" w:cs="Arial"/>
          <w:szCs w:val="20"/>
        </w:rPr>
        <w:sym w:font="Wingdings 2" w:char="F050"/>
      </w:r>
      <w:r w:rsidRPr="00285553">
        <w:rPr>
          <w:rFonts w:ascii="Arial" w:hAnsi="Arial" w:cs="Arial"/>
          <w:szCs w:val="20"/>
        </w:rPr>
        <w:t xml:space="preserve"> Funded, </w:t>
      </w:r>
      <w:r w:rsidRPr="00285553">
        <w:rPr>
          <w:rFonts w:ascii="Arial" w:hAnsi="Arial" w:cs="Arial"/>
          <w:szCs w:val="20"/>
        </w:rPr>
        <w:sym w:font="Wingdings" w:char="F0FB"/>
      </w:r>
      <w:r w:rsidRPr="00285553">
        <w:rPr>
          <w:rFonts w:ascii="Arial" w:hAnsi="Arial" w:cs="Arial"/>
          <w:szCs w:val="20"/>
        </w:rPr>
        <w:t xml:space="preserve"> Not funded, † Funding decision pending</w:t>
      </w:r>
      <w:r w:rsidRPr="00285553">
        <w:rPr>
          <w:rFonts w:ascii="Arial" w:hAnsi="Arial" w:cs="Arial"/>
          <w:szCs w:val="20"/>
        </w:rPr>
        <w:t xml:space="preserve">; *Under </w:t>
      </w:r>
      <w:proofErr w:type="spellStart"/>
      <w:r w:rsidRPr="00285553">
        <w:rPr>
          <w:rFonts w:ascii="Arial" w:hAnsi="Arial" w:cs="Arial"/>
          <w:szCs w:val="20"/>
        </w:rPr>
        <w:t>pCODR</w:t>
      </w:r>
      <w:proofErr w:type="spellEnd"/>
      <w:r w:rsidRPr="00285553">
        <w:rPr>
          <w:rFonts w:ascii="Arial" w:hAnsi="Arial" w:cs="Arial"/>
          <w:szCs w:val="20"/>
        </w:rPr>
        <w:t xml:space="preserve"> Review</w:t>
      </w:r>
    </w:p>
    <w:p w14:paraId="35793F76" w14:textId="77777777" w:rsidR="005A28E8" w:rsidRPr="00285553" w:rsidRDefault="005A28E8">
      <w:pPr>
        <w:rPr>
          <w:rFonts w:ascii="Arial" w:hAnsi="Arial" w:cs="Arial"/>
          <w:sz w:val="18"/>
          <w:szCs w:val="18"/>
        </w:rPr>
      </w:pPr>
    </w:p>
    <w:sectPr w:rsidR="005A28E8" w:rsidRPr="00285553" w:rsidSect="00EB0EEF">
      <w:pgSz w:w="12240" w:h="15840" w:code="1"/>
      <w:pgMar w:top="2362" w:right="821" w:bottom="1454" w:left="8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8007D4"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4</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4</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4009A"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6</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140A45">
                      <w:rPr>
                        <w:rFonts w:ascii="Arial" w:hAnsi="Arial" w:cs="Arial"/>
                        <w:noProof/>
                        <w:sz w:val="14"/>
                        <w:szCs w:val="14"/>
                      </w:rPr>
                      <w:t>6</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18245199"/>
    <w:multiLevelType w:val="hybridMultilevel"/>
    <w:tmpl w:val="FA8EA39C"/>
    <w:lvl w:ilvl="0" w:tplc="1E32DF94">
      <w:start w:val="1"/>
      <w:numFmt w:val="bullet"/>
      <w:lvlText w:val=""/>
      <w:lvlJc w:val="left"/>
      <w:pPr>
        <w:ind w:left="938" w:hanging="360"/>
      </w:pPr>
      <w:rPr>
        <w:rFonts w:ascii="Symbol" w:hAnsi="Symbol" w:hint="default"/>
        <w:sz w:val="16"/>
      </w:rPr>
    </w:lvl>
    <w:lvl w:ilvl="1" w:tplc="10090017">
      <w:start w:val="1"/>
      <w:numFmt w:val="lowerLetter"/>
      <w:lvlText w:val="%2)"/>
      <w:lvlJc w:val="left"/>
      <w:pPr>
        <w:ind w:left="1658" w:hanging="360"/>
      </w:pPr>
      <w:rPr>
        <w:rFonts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9"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4"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5"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6E5B7F"/>
    <w:multiLevelType w:val="hybridMultilevel"/>
    <w:tmpl w:val="BBC4E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2"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4"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5BFA4EC3"/>
    <w:multiLevelType w:val="hybridMultilevel"/>
    <w:tmpl w:val="BF8848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7"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8"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2441B1D"/>
    <w:multiLevelType w:val="hybridMultilevel"/>
    <w:tmpl w:val="472E0524"/>
    <w:lvl w:ilvl="0" w:tplc="04090001">
      <w:start w:val="1"/>
      <w:numFmt w:val="bullet"/>
      <w:lvlText w:val=""/>
      <w:lvlJc w:val="left"/>
      <w:pPr>
        <w:ind w:left="938" w:hanging="360"/>
      </w:pPr>
      <w:rPr>
        <w:rFonts w:ascii="Symbol" w:hAnsi="Symbol" w:hint="default"/>
      </w:rPr>
    </w:lvl>
    <w:lvl w:ilvl="1" w:tplc="10090017">
      <w:start w:val="1"/>
      <w:numFmt w:val="lowerLetter"/>
      <w:lvlText w:val="%2)"/>
      <w:lvlJc w:val="left"/>
      <w:pPr>
        <w:ind w:left="1658" w:hanging="360"/>
      </w:pPr>
      <w:rPr>
        <w:rFonts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1"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A162F1"/>
    <w:multiLevelType w:val="hybridMultilevel"/>
    <w:tmpl w:val="30021F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68FF479D"/>
    <w:multiLevelType w:val="hybridMultilevel"/>
    <w:tmpl w:val="D41E17D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5"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6"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7"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9"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4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3"/>
  </w:num>
  <w:num w:numId="15">
    <w:abstractNumId w:val="44"/>
  </w:num>
  <w:num w:numId="16">
    <w:abstractNumId w:val="26"/>
  </w:num>
  <w:num w:numId="17">
    <w:abstractNumId w:val="31"/>
  </w:num>
  <w:num w:numId="18">
    <w:abstractNumId w:val="49"/>
  </w:num>
  <w:num w:numId="19">
    <w:abstractNumId w:val="29"/>
  </w:num>
  <w:num w:numId="20">
    <w:abstractNumId w:val="11"/>
  </w:num>
  <w:num w:numId="21">
    <w:abstractNumId w:val="9"/>
  </w:num>
  <w:num w:numId="22">
    <w:abstractNumId w:val="28"/>
  </w:num>
  <w:num w:numId="23">
    <w:abstractNumId w:val="47"/>
  </w:num>
  <w:num w:numId="24">
    <w:abstractNumId w:val="15"/>
  </w:num>
  <w:num w:numId="25">
    <w:abstractNumId w:val="25"/>
  </w:num>
  <w:num w:numId="26">
    <w:abstractNumId w:val="37"/>
  </w:num>
  <w:num w:numId="27">
    <w:abstractNumId w:val="19"/>
  </w:num>
  <w:num w:numId="28">
    <w:abstractNumId w:val="24"/>
  </w:num>
  <w:num w:numId="29">
    <w:abstractNumId w:val="17"/>
  </w:num>
  <w:num w:numId="30">
    <w:abstractNumId w:val="45"/>
  </w:num>
  <w:num w:numId="31">
    <w:abstractNumId w:val="39"/>
  </w:num>
  <w:num w:numId="32">
    <w:abstractNumId w:val="48"/>
    <w:lvlOverride w:ilvl="0">
      <w:startOverride w:val="1"/>
    </w:lvlOverride>
  </w:num>
  <w:num w:numId="33">
    <w:abstractNumId w:val="36"/>
    <w:lvlOverride w:ilvl="0">
      <w:startOverride w:val="1"/>
    </w:lvlOverride>
  </w:num>
  <w:num w:numId="34">
    <w:abstractNumId w:val="38"/>
  </w:num>
  <w:num w:numId="35">
    <w:abstractNumId w:val="23"/>
  </w:num>
  <w:num w:numId="36">
    <w:abstractNumId w:val="22"/>
  </w:num>
  <w:num w:numId="37">
    <w:abstractNumId w:val="21"/>
  </w:num>
  <w:num w:numId="38">
    <w:abstractNumId w:val="12"/>
  </w:num>
  <w:num w:numId="39">
    <w:abstractNumId w:val="46"/>
  </w:num>
  <w:num w:numId="40">
    <w:abstractNumId w:val="16"/>
  </w:num>
  <w:num w:numId="41">
    <w:abstractNumId w:val="40"/>
  </w:num>
  <w:num w:numId="42">
    <w:abstractNumId w:val="18"/>
  </w:num>
  <w:num w:numId="43">
    <w:abstractNumId w:val="34"/>
  </w:num>
  <w:num w:numId="44">
    <w:abstractNumId w:val="43"/>
  </w:num>
  <w:num w:numId="45">
    <w:abstractNumId w:val="20"/>
  </w:num>
  <w:num w:numId="46">
    <w:abstractNumId w:val="13"/>
  </w:num>
  <w:num w:numId="47">
    <w:abstractNumId w:val="32"/>
  </w:num>
  <w:num w:numId="48">
    <w:abstractNumId w:val="27"/>
  </w:num>
  <w:num w:numId="49">
    <w:abstractNumId w:val="35"/>
  </w:num>
  <w:num w:numId="50">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proofState w:spelling="clean" w:grammar="clean"/>
  <w:defaultTabStop w:val="720"/>
  <w:drawingGridHorizontalSpacing w:val="100"/>
  <w:drawingGridVerticalSpacing w:val="360"/>
  <w:displayHorizontalDrawingGridEvery w:val="0"/>
  <w:displayVerticalDrawingGridEvery w:val="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56D8"/>
    <w:rsid w:val="00053050"/>
    <w:rsid w:val="00053100"/>
    <w:rsid w:val="00060E22"/>
    <w:rsid w:val="000635BE"/>
    <w:rsid w:val="0006645B"/>
    <w:rsid w:val="0006646E"/>
    <w:rsid w:val="00067BEE"/>
    <w:rsid w:val="00067EA3"/>
    <w:rsid w:val="00071721"/>
    <w:rsid w:val="0007407B"/>
    <w:rsid w:val="00075DF9"/>
    <w:rsid w:val="00081830"/>
    <w:rsid w:val="00084CB6"/>
    <w:rsid w:val="0008785D"/>
    <w:rsid w:val="00090424"/>
    <w:rsid w:val="00094051"/>
    <w:rsid w:val="000A0AB1"/>
    <w:rsid w:val="000A22F4"/>
    <w:rsid w:val="000A30DC"/>
    <w:rsid w:val="000A445C"/>
    <w:rsid w:val="000A56A6"/>
    <w:rsid w:val="000D0D08"/>
    <w:rsid w:val="000D37EC"/>
    <w:rsid w:val="000D3D87"/>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0A45"/>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60EF"/>
    <w:rsid w:val="001A3B5E"/>
    <w:rsid w:val="001A3D83"/>
    <w:rsid w:val="001A5EAB"/>
    <w:rsid w:val="001B0ADC"/>
    <w:rsid w:val="001B615E"/>
    <w:rsid w:val="001C1606"/>
    <w:rsid w:val="001C1F76"/>
    <w:rsid w:val="001C2ECF"/>
    <w:rsid w:val="001C5577"/>
    <w:rsid w:val="001D443A"/>
    <w:rsid w:val="001E2332"/>
    <w:rsid w:val="001E2C66"/>
    <w:rsid w:val="001F134E"/>
    <w:rsid w:val="002030BD"/>
    <w:rsid w:val="002030DC"/>
    <w:rsid w:val="00205435"/>
    <w:rsid w:val="00205657"/>
    <w:rsid w:val="00206B83"/>
    <w:rsid w:val="002117A9"/>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553"/>
    <w:rsid w:val="00285957"/>
    <w:rsid w:val="00292B5D"/>
    <w:rsid w:val="00293200"/>
    <w:rsid w:val="00294CB9"/>
    <w:rsid w:val="0029523E"/>
    <w:rsid w:val="002B2D78"/>
    <w:rsid w:val="002B6066"/>
    <w:rsid w:val="002B75E4"/>
    <w:rsid w:val="002C16FC"/>
    <w:rsid w:val="002C427F"/>
    <w:rsid w:val="002C4D19"/>
    <w:rsid w:val="002D4E8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422CD"/>
    <w:rsid w:val="0034543E"/>
    <w:rsid w:val="003454DE"/>
    <w:rsid w:val="00345A11"/>
    <w:rsid w:val="003460FD"/>
    <w:rsid w:val="00347615"/>
    <w:rsid w:val="003559BA"/>
    <w:rsid w:val="00356CB8"/>
    <w:rsid w:val="00360C79"/>
    <w:rsid w:val="003613BC"/>
    <w:rsid w:val="00364061"/>
    <w:rsid w:val="003640EA"/>
    <w:rsid w:val="0036567D"/>
    <w:rsid w:val="003665AC"/>
    <w:rsid w:val="003731D9"/>
    <w:rsid w:val="00381ABB"/>
    <w:rsid w:val="003827E7"/>
    <w:rsid w:val="00383744"/>
    <w:rsid w:val="00387719"/>
    <w:rsid w:val="00387ABA"/>
    <w:rsid w:val="003920FE"/>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34FDC"/>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47F6"/>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379D"/>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1E7E"/>
    <w:rsid w:val="0059332B"/>
    <w:rsid w:val="005A00AF"/>
    <w:rsid w:val="005A28E8"/>
    <w:rsid w:val="005A4236"/>
    <w:rsid w:val="005A5305"/>
    <w:rsid w:val="005A5C56"/>
    <w:rsid w:val="005B23E5"/>
    <w:rsid w:val="005B6DDB"/>
    <w:rsid w:val="005C16BF"/>
    <w:rsid w:val="005C4149"/>
    <w:rsid w:val="005C455A"/>
    <w:rsid w:val="005D06D4"/>
    <w:rsid w:val="005D1506"/>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1A29"/>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61A5"/>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07ED"/>
    <w:rsid w:val="00833204"/>
    <w:rsid w:val="00834516"/>
    <w:rsid w:val="00834902"/>
    <w:rsid w:val="00834EC6"/>
    <w:rsid w:val="00850248"/>
    <w:rsid w:val="00851CEC"/>
    <w:rsid w:val="00852259"/>
    <w:rsid w:val="00860375"/>
    <w:rsid w:val="00862355"/>
    <w:rsid w:val="008624EC"/>
    <w:rsid w:val="00865015"/>
    <w:rsid w:val="00866DE5"/>
    <w:rsid w:val="008739D7"/>
    <w:rsid w:val="00875306"/>
    <w:rsid w:val="00876CAB"/>
    <w:rsid w:val="00877413"/>
    <w:rsid w:val="00881E8C"/>
    <w:rsid w:val="008835DD"/>
    <w:rsid w:val="00883796"/>
    <w:rsid w:val="00884C24"/>
    <w:rsid w:val="00885BE8"/>
    <w:rsid w:val="00891B28"/>
    <w:rsid w:val="00892C3F"/>
    <w:rsid w:val="008962B7"/>
    <w:rsid w:val="008964B0"/>
    <w:rsid w:val="00896DD7"/>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2C64"/>
    <w:rsid w:val="008F74B4"/>
    <w:rsid w:val="008F7E83"/>
    <w:rsid w:val="009001C3"/>
    <w:rsid w:val="00900DA7"/>
    <w:rsid w:val="00901A01"/>
    <w:rsid w:val="009046CA"/>
    <w:rsid w:val="00907245"/>
    <w:rsid w:val="009103E4"/>
    <w:rsid w:val="00912B81"/>
    <w:rsid w:val="00914A18"/>
    <w:rsid w:val="00917C45"/>
    <w:rsid w:val="009200F7"/>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87EC7"/>
    <w:rsid w:val="00992B58"/>
    <w:rsid w:val="00993380"/>
    <w:rsid w:val="009964BE"/>
    <w:rsid w:val="009A3237"/>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236F"/>
    <w:rsid w:val="009F3922"/>
    <w:rsid w:val="009F46C8"/>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C2C8E"/>
    <w:rsid w:val="00AD08FE"/>
    <w:rsid w:val="00AD579A"/>
    <w:rsid w:val="00AE1009"/>
    <w:rsid w:val="00AE4DF1"/>
    <w:rsid w:val="00AF03DC"/>
    <w:rsid w:val="00AF19A7"/>
    <w:rsid w:val="00AF3EF5"/>
    <w:rsid w:val="00AF44A6"/>
    <w:rsid w:val="00AF6958"/>
    <w:rsid w:val="00AF76B5"/>
    <w:rsid w:val="00B06CDB"/>
    <w:rsid w:val="00B073A2"/>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8414F"/>
    <w:rsid w:val="00C93FC0"/>
    <w:rsid w:val="00C95E68"/>
    <w:rsid w:val="00C961BA"/>
    <w:rsid w:val="00C9709D"/>
    <w:rsid w:val="00CA6CBD"/>
    <w:rsid w:val="00CB149B"/>
    <w:rsid w:val="00CB24A7"/>
    <w:rsid w:val="00CB4103"/>
    <w:rsid w:val="00CB5E8A"/>
    <w:rsid w:val="00CC3328"/>
    <w:rsid w:val="00CC380E"/>
    <w:rsid w:val="00CC3B85"/>
    <w:rsid w:val="00CC3F04"/>
    <w:rsid w:val="00CC4A9C"/>
    <w:rsid w:val="00CD1004"/>
    <w:rsid w:val="00CD1689"/>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9D4"/>
    <w:rsid w:val="00D42F8F"/>
    <w:rsid w:val="00D47251"/>
    <w:rsid w:val="00D5162D"/>
    <w:rsid w:val="00D541C3"/>
    <w:rsid w:val="00D57AF0"/>
    <w:rsid w:val="00D6523D"/>
    <w:rsid w:val="00D65E73"/>
    <w:rsid w:val="00D67D0E"/>
    <w:rsid w:val="00D71A08"/>
    <w:rsid w:val="00D73478"/>
    <w:rsid w:val="00D73887"/>
    <w:rsid w:val="00D8302B"/>
    <w:rsid w:val="00D93D6C"/>
    <w:rsid w:val="00DA1835"/>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3211"/>
    <w:rsid w:val="00DF44FE"/>
    <w:rsid w:val="00DF589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0A6E"/>
    <w:rsid w:val="00F65343"/>
    <w:rsid w:val="00F65961"/>
    <w:rsid w:val="00F707CB"/>
    <w:rsid w:val="00F70BCF"/>
    <w:rsid w:val="00F70FB0"/>
    <w:rsid w:val="00F725F6"/>
    <w:rsid w:val="00F74B51"/>
    <w:rsid w:val="00F801AD"/>
    <w:rsid w:val="00F80AF5"/>
    <w:rsid w:val="00F81D31"/>
    <w:rsid w:val="00F83FE5"/>
    <w:rsid w:val="00F840DD"/>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uiPriority w:val="20"/>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 w:type="character" w:styleId="UnresolvedMention">
    <w:name w:val="Unresolved Mention"/>
    <w:basedOn w:val="DefaultParagraphFont"/>
    <w:uiPriority w:val="99"/>
    <w:semiHidden/>
    <w:unhideWhenUsed/>
    <w:rsid w:val="00063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750966">
      <w:bodyDiv w:val="1"/>
      <w:marLeft w:val="0"/>
      <w:marRight w:val="0"/>
      <w:marTop w:val="0"/>
      <w:marBottom w:val="0"/>
      <w:divBdr>
        <w:top w:val="none" w:sz="0" w:space="0" w:color="auto"/>
        <w:left w:val="none" w:sz="0" w:space="0" w:color="auto"/>
        <w:bottom w:val="none" w:sz="0" w:space="0" w:color="auto"/>
        <w:right w:val="none" w:sz="0" w:space="0" w:color="auto"/>
      </w:divBdr>
      <w:divsChild>
        <w:div w:id="462161396">
          <w:marLeft w:val="0"/>
          <w:marRight w:val="0"/>
          <w:marTop w:val="0"/>
          <w:marBottom w:val="0"/>
          <w:divBdr>
            <w:top w:val="none" w:sz="0" w:space="0" w:color="auto"/>
            <w:left w:val="none" w:sz="0" w:space="0" w:color="auto"/>
            <w:bottom w:val="none" w:sz="0" w:space="0" w:color="auto"/>
            <w:right w:val="none" w:sz="0" w:space="0" w:color="auto"/>
          </w:divBdr>
        </w:div>
        <w:div w:id="1763381476">
          <w:marLeft w:val="0"/>
          <w:marRight w:val="0"/>
          <w:marTop w:val="0"/>
          <w:marBottom w:val="0"/>
          <w:divBdr>
            <w:top w:val="none" w:sz="0" w:space="0" w:color="auto"/>
            <w:left w:val="none" w:sz="0" w:space="0" w:color="auto"/>
            <w:bottom w:val="none" w:sz="0" w:space="0" w:color="auto"/>
            <w:right w:val="none" w:sz="0" w:space="0" w:color="auto"/>
          </w:divBdr>
        </w:div>
      </w:divsChild>
    </w:div>
    <w:div w:id="491408066">
      <w:bodyDiv w:val="1"/>
      <w:marLeft w:val="0"/>
      <w:marRight w:val="0"/>
      <w:marTop w:val="0"/>
      <w:marBottom w:val="0"/>
      <w:divBdr>
        <w:top w:val="none" w:sz="0" w:space="0" w:color="auto"/>
        <w:left w:val="none" w:sz="0" w:space="0" w:color="auto"/>
        <w:bottom w:val="none" w:sz="0" w:space="0" w:color="auto"/>
        <w:right w:val="none" w:sz="0" w:space="0" w:color="auto"/>
      </w:divBdr>
    </w:div>
    <w:div w:id="544097134">
      <w:bodyDiv w:val="1"/>
      <w:marLeft w:val="0"/>
      <w:marRight w:val="0"/>
      <w:marTop w:val="0"/>
      <w:marBottom w:val="0"/>
      <w:divBdr>
        <w:top w:val="none" w:sz="0" w:space="0" w:color="auto"/>
        <w:left w:val="none" w:sz="0" w:space="0" w:color="auto"/>
        <w:bottom w:val="none" w:sz="0" w:space="0" w:color="auto"/>
        <w:right w:val="none" w:sz="0" w:space="0" w:color="auto"/>
      </w:divBdr>
    </w:div>
    <w:div w:id="557402420">
      <w:bodyDiv w:val="1"/>
      <w:marLeft w:val="0"/>
      <w:marRight w:val="0"/>
      <w:marTop w:val="0"/>
      <w:marBottom w:val="0"/>
      <w:divBdr>
        <w:top w:val="none" w:sz="0" w:space="0" w:color="auto"/>
        <w:left w:val="none" w:sz="0" w:space="0" w:color="auto"/>
        <w:bottom w:val="none" w:sz="0" w:space="0" w:color="auto"/>
        <w:right w:val="none" w:sz="0" w:space="0" w:color="auto"/>
      </w:divBdr>
      <w:divsChild>
        <w:div w:id="388966622">
          <w:marLeft w:val="0"/>
          <w:marRight w:val="0"/>
          <w:marTop w:val="0"/>
          <w:marBottom w:val="0"/>
          <w:divBdr>
            <w:top w:val="none" w:sz="0" w:space="0" w:color="auto"/>
            <w:left w:val="none" w:sz="0" w:space="0" w:color="auto"/>
            <w:bottom w:val="none" w:sz="0" w:space="0" w:color="auto"/>
            <w:right w:val="none" w:sz="0" w:space="0" w:color="auto"/>
          </w:divBdr>
        </w:div>
        <w:div w:id="1635676929">
          <w:marLeft w:val="0"/>
          <w:marRight w:val="0"/>
          <w:marTop w:val="0"/>
          <w:marBottom w:val="0"/>
          <w:divBdr>
            <w:top w:val="none" w:sz="0" w:space="0" w:color="auto"/>
            <w:left w:val="none" w:sz="0" w:space="0" w:color="auto"/>
            <w:bottom w:val="none" w:sz="0" w:space="0" w:color="auto"/>
            <w:right w:val="none" w:sz="0" w:space="0" w:color="auto"/>
          </w:divBdr>
        </w:div>
      </w:divsChild>
    </w:div>
    <w:div w:id="616525624">
      <w:bodyDiv w:val="1"/>
      <w:marLeft w:val="0"/>
      <w:marRight w:val="0"/>
      <w:marTop w:val="0"/>
      <w:marBottom w:val="0"/>
      <w:divBdr>
        <w:top w:val="none" w:sz="0" w:space="0" w:color="auto"/>
        <w:left w:val="none" w:sz="0" w:space="0" w:color="auto"/>
        <w:bottom w:val="none" w:sz="0" w:space="0" w:color="auto"/>
        <w:right w:val="none" w:sz="0" w:space="0" w:color="auto"/>
      </w:divBdr>
    </w:div>
    <w:div w:id="659315306">
      <w:bodyDiv w:val="1"/>
      <w:marLeft w:val="0"/>
      <w:marRight w:val="0"/>
      <w:marTop w:val="0"/>
      <w:marBottom w:val="0"/>
      <w:divBdr>
        <w:top w:val="none" w:sz="0" w:space="0" w:color="auto"/>
        <w:left w:val="none" w:sz="0" w:space="0" w:color="auto"/>
        <w:bottom w:val="none" w:sz="0" w:space="0" w:color="auto"/>
        <w:right w:val="none" w:sz="0" w:space="0" w:color="auto"/>
      </w:divBdr>
    </w:div>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032801806">
      <w:bodyDiv w:val="1"/>
      <w:marLeft w:val="0"/>
      <w:marRight w:val="0"/>
      <w:marTop w:val="0"/>
      <w:marBottom w:val="0"/>
      <w:divBdr>
        <w:top w:val="none" w:sz="0" w:space="0" w:color="auto"/>
        <w:left w:val="none" w:sz="0" w:space="0" w:color="auto"/>
        <w:bottom w:val="none" w:sz="0" w:space="0" w:color="auto"/>
        <w:right w:val="none" w:sz="0" w:space="0" w:color="auto"/>
      </w:divBdr>
    </w:div>
    <w:div w:id="1108038561">
      <w:bodyDiv w:val="1"/>
      <w:marLeft w:val="0"/>
      <w:marRight w:val="0"/>
      <w:marTop w:val="0"/>
      <w:marBottom w:val="0"/>
      <w:divBdr>
        <w:top w:val="none" w:sz="0" w:space="0" w:color="auto"/>
        <w:left w:val="none" w:sz="0" w:space="0" w:color="auto"/>
        <w:bottom w:val="none" w:sz="0" w:space="0" w:color="auto"/>
        <w:right w:val="none" w:sz="0" w:space="0" w:color="auto"/>
      </w:divBdr>
      <w:divsChild>
        <w:div w:id="388384998">
          <w:marLeft w:val="0"/>
          <w:marRight w:val="0"/>
          <w:marTop w:val="0"/>
          <w:marBottom w:val="0"/>
          <w:divBdr>
            <w:top w:val="none" w:sz="0" w:space="0" w:color="auto"/>
            <w:left w:val="none" w:sz="0" w:space="0" w:color="auto"/>
            <w:bottom w:val="none" w:sz="0" w:space="0" w:color="auto"/>
            <w:right w:val="none" w:sz="0" w:space="0" w:color="auto"/>
          </w:divBdr>
        </w:div>
        <w:div w:id="1013413529">
          <w:marLeft w:val="0"/>
          <w:marRight w:val="0"/>
          <w:marTop w:val="0"/>
          <w:marBottom w:val="0"/>
          <w:divBdr>
            <w:top w:val="none" w:sz="0" w:space="0" w:color="auto"/>
            <w:left w:val="none" w:sz="0" w:space="0" w:color="auto"/>
            <w:bottom w:val="none" w:sz="0" w:space="0" w:color="auto"/>
            <w:right w:val="none" w:sz="0" w:space="0" w:color="auto"/>
          </w:divBdr>
        </w:div>
        <w:div w:id="1937126986">
          <w:marLeft w:val="0"/>
          <w:marRight w:val="0"/>
          <w:marTop w:val="0"/>
          <w:marBottom w:val="0"/>
          <w:divBdr>
            <w:top w:val="none" w:sz="0" w:space="0" w:color="auto"/>
            <w:left w:val="none" w:sz="0" w:space="0" w:color="auto"/>
            <w:bottom w:val="none" w:sz="0" w:space="0" w:color="auto"/>
            <w:right w:val="none" w:sz="0" w:space="0" w:color="auto"/>
          </w:divBdr>
        </w:div>
      </w:divsChild>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367754028">
      <w:bodyDiv w:val="1"/>
      <w:marLeft w:val="0"/>
      <w:marRight w:val="0"/>
      <w:marTop w:val="0"/>
      <w:marBottom w:val="0"/>
      <w:divBdr>
        <w:top w:val="none" w:sz="0" w:space="0" w:color="auto"/>
        <w:left w:val="none" w:sz="0" w:space="0" w:color="auto"/>
        <w:bottom w:val="none" w:sz="0" w:space="0" w:color="auto"/>
        <w:right w:val="none" w:sz="0" w:space="0" w:color="auto"/>
      </w:divBdr>
    </w:div>
    <w:div w:id="1389038717">
      <w:bodyDiv w:val="1"/>
      <w:marLeft w:val="0"/>
      <w:marRight w:val="0"/>
      <w:marTop w:val="0"/>
      <w:marBottom w:val="0"/>
      <w:divBdr>
        <w:top w:val="none" w:sz="0" w:space="0" w:color="auto"/>
        <w:left w:val="none" w:sz="0" w:space="0" w:color="auto"/>
        <w:bottom w:val="none" w:sz="0" w:space="0" w:color="auto"/>
        <w:right w:val="none" w:sz="0" w:space="0" w:color="auto"/>
      </w:divBdr>
    </w:div>
    <w:div w:id="1518042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hyperlink" Target="https://www.esmo.org/Guidelines/Breast-Cancer/4th-ESO-ESMO-International-Consensus-Guidelines-for-Advanced-Breast-Cancer-ABC-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nccn.org/professionals/physician_gls/pdf/breast.pdf" TargetMode="External"/><Relationship Id="rId2" Type="http://schemas.openxmlformats.org/officeDocument/2006/relationships/numbering" Target="numbering.xml"/><Relationship Id="rId16" Type="http://schemas.openxmlformats.org/officeDocument/2006/relationships/hyperlink" Target="https://www.ema.europa.eu/en/medicines/human/EPAR/kisqal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ccessdata.fda.gov/drugsatfda_docs/nda/2018/209092Orig1s001.pdf"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22781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785E1-971B-4CB8-9CCA-7EE21A993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2018-08-09T17:03:00Z</dcterms:created>
  <dcterms:modified xsi:type="dcterms:W3CDTF">2019-07-16T19:34:00Z</dcterms:modified>
</cp:coreProperties>
</file>