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FA54C4" w:rsidRDefault="00121EB1" w:rsidP="00EB0EEF">
            <w:pPr>
              <w:pStyle w:val="DocumentTitle"/>
              <w:tabs>
                <w:tab w:val="left" w:pos="1074"/>
              </w:tabs>
              <w:spacing w:before="80" w:after="80"/>
              <w:rPr>
                <w:color w:val="FFFFFF" w:themeColor="background1"/>
                <w:sz w:val="18"/>
                <w:szCs w:val="20"/>
              </w:rPr>
            </w:pPr>
            <w:r w:rsidRPr="00FA54C4">
              <w:rPr>
                <w:color w:val="FFFFFF" w:themeColor="background1"/>
                <w:sz w:val="18"/>
                <w:szCs w:val="20"/>
              </w:rPr>
              <w:t xml:space="preserve">CADTH </w:t>
            </w:r>
            <w:proofErr w:type="spellStart"/>
            <w:r w:rsidRPr="00FA54C4">
              <w:rPr>
                <w:color w:val="FFFFFF" w:themeColor="background1"/>
                <w:sz w:val="18"/>
                <w:szCs w:val="20"/>
              </w:rPr>
              <w:t>pCODR</w:t>
            </w:r>
            <w:proofErr w:type="spellEnd"/>
            <w:r w:rsidRPr="00FA54C4">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EE6F681" w:rsidR="00121EB1" w:rsidRPr="00FA54C4" w:rsidRDefault="00CB5E8A" w:rsidP="00860375">
            <w:pPr>
              <w:pStyle w:val="DocumentTitle"/>
              <w:tabs>
                <w:tab w:val="left" w:pos="1074"/>
              </w:tabs>
              <w:spacing w:before="0" w:after="0"/>
              <w:rPr>
                <w:sz w:val="18"/>
                <w:szCs w:val="20"/>
              </w:rPr>
            </w:pPr>
            <w:proofErr w:type="spellStart"/>
            <w:r w:rsidRPr="00FA54C4">
              <w:rPr>
                <w:sz w:val="18"/>
                <w:szCs w:val="20"/>
              </w:rPr>
              <w:t>pCODR</w:t>
            </w:r>
            <w:proofErr w:type="spellEnd"/>
            <w:r w:rsidRPr="00FA54C4">
              <w:rPr>
                <w:sz w:val="18"/>
                <w:szCs w:val="20"/>
              </w:rPr>
              <w:t xml:space="preserve"> 10</w:t>
            </w:r>
            <w:r w:rsidR="00FA54C4" w:rsidRPr="00FA54C4">
              <w:rPr>
                <w:sz w:val="18"/>
                <w:szCs w:val="20"/>
              </w:rPr>
              <w:t>200</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DEEF063" w:rsidR="00F369F8" w:rsidRPr="00FA54C4" w:rsidRDefault="00066C52" w:rsidP="00B073A2">
            <w:pPr>
              <w:pStyle w:val="DocumentTitle"/>
              <w:tabs>
                <w:tab w:val="left" w:pos="1074"/>
              </w:tabs>
              <w:spacing w:before="0" w:after="0"/>
              <w:rPr>
                <w:sz w:val="18"/>
                <w:szCs w:val="20"/>
                <w:highlight w:val="yellow"/>
              </w:rPr>
            </w:pPr>
            <w:proofErr w:type="spellStart"/>
            <w:r w:rsidRPr="00066C52">
              <w:rPr>
                <w:sz w:val="18"/>
                <w:szCs w:val="20"/>
              </w:rPr>
              <w:t>Apalutamide</w:t>
            </w:r>
            <w:proofErr w:type="spellEnd"/>
            <w:r w:rsidRPr="00066C52">
              <w:rPr>
                <w:sz w:val="18"/>
                <w:szCs w:val="20"/>
              </w:rPr>
              <w:t xml:space="preserve"> (</w:t>
            </w:r>
            <w:proofErr w:type="spellStart"/>
            <w:r w:rsidRPr="00066C52">
              <w:rPr>
                <w:sz w:val="18"/>
                <w:szCs w:val="20"/>
              </w:rPr>
              <w:t>Erleada</w:t>
            </w:r>
            <w:proofErr w:type="spellEnd"/>
            <w:r w:rsidRPr="00066C5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41366195" w:rsidR="00F369F8" w:rsidRPr="00066C52" w:rsidRDefault="00066C52" w:rsidP="00860375">
            <w:pPr>
              <w:pStyle w:val="DocumentTitle"/>
              <w:tabs>
                <w:tab w:val="left" w:pos="1074"/>
              </w:tabs>
              <w:spacing w:before="0" w:after="0"/>
              <w:rPr>
                <w:sz w:val="18"/>
                <w:szCs w:val="20"/>
              </w:rPr>
            </w:pPr>
            <w:r w:rsidRPr="00066C52">
              <w:rPr>
                <w:sz w:val="18"/>
                <w:szCs w:val="20"/>
              </w:rPr>
              <w:t>Prostate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2798DE70" w:rsidR="00F81D31" w:rsidRPr="00066C52" w:rsidRDefault="00066C52" w:rsidP="00066C52">
            <w:pPr>
              <w:pStyle w:val="DocumentTitle"/>
              <w:tabs>
                <w:tab w:val="left" w:pos="1074"/>
              </w:tabs>
              <w:spacing w:before="0" w:after="0"/>
              <w:rPr>
                <w:sz w:val="18"/>
                <w:szCs w:val="18"/>
              </w:rPr>
            </w:pPr>
            <w:r w:rsidRPr="00066C52">
              <w:rPr>
                <w:sz w:val="18"/>
                <w:szCs w:val="18"/>
              </w:rPr>
              <w:t>For the treatment of metastatic castration-sensitive prostate cancer (</w:t>
            </w:r>
            <w:proofErr w:type="spellStart"/>
            <w:r w:rsidRPr="00066C52">
              <w:rPr>
                <w:sz w:val="18"/>
                <w:szCs w:val="18"/>
              </w:rPr>
              <w:t>mCSPC</w:t>
            </w:r>
            <w:proofErr w:type="spellEnd"/>
            <w:r w:rsidRPr="00066C52">
              <w:rPr>
                <w:sz w:val="18"/>
                <w:szCs w:val="18"/>
              </w:rPr>
              <w:t>)</w:t>
            </w:r>
            <w:r w:rsidRPr="00066C52">
              <w:rPr>
                <w:sz w:val="18"/>
                <w:szCs w:val="18"/>
              </w:rPr>
              <w:t>.</w:t>
            </w:r>
          </w:p>
        </w:tc>
      </w:tr>
      <w:tr w:rsidR="00F369F8" w:rsidRPr="00FA54C4"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2005C1" w:rsidRDefault="00554ADB"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Trial(s) </w:t>
            </w:r>
            <w:r w:rsidR="00D47251" w:rsidRPr="002005C1">
              <w:rPr>
                <w:color w:val="FFFFFF" w:themeColor="background1"/>
                <w:sz w:val="18"/>
                <w:szCs w:val="20"/>
              </w:rPr>
              <w:t>B</w:t>
            </w:r>
            <w:r w:rsidRPr="002005C1">
              <w:rPr>
                <w:color w:val="FFFFFF" w:themeColor="background1"/>
                <w:sz w:val="18"/>
                <w:szCs w:val="20"/>
              </w:rPr>
              <w:t xml:space="preserve">eing </w:t>
            </w:r>
            <w:r w:rsidR="00D47251" w:rsidRPr="002005C1">
              <w:rPr>
                <w:color w:val="FFFFFF" w:themeColor="background1"/>
                <w:sz w:val="18"/>
                <w:szCs w:val="20"/>
              </w:rPr>
              <w:t>S</w:t>
            </w:r>
            <w:r w:rsidRPr="002005C1">
              <w:rPr>
                <w:color w:val="FFFFFF" w:themeColor="background1"/>
                <w:sz w:val="18"/>
                <w:szCs w:val="20"/>
              </w:rPr>
              <w:t xml:space="preserve">ubmitted </w:t>
            </w:r>
            <w:r w:rsidR="00F92BE1" w:rsidRPr="002005C1">
              <w:rPr>
                <w:color w:val="FFFFFF" w:themeColor="background1"/>
                <w:sz w:val="18"/>
                <w:szCs w:val="20"/>
              </w:rPr>
              <w:t>to</w:t>
            </w:r>
            <w:r w:rsidRPr="002005C1">
              <w:rPr>
                <w:color w:val="FFFFFF" w:themeColor="background1"/>
                <w:sz w:val="18"/>
                <w:szCs w:val="20"/>
              </w:rPr>
              <w:t xml:space="preserve"> </w:t>
            </w:r>
            <w:proofErr w:type="spellStart"/>
            <w:r w:rsidRPr="002005C1">
              <w:rPr>
                <w:color w:val="FFFFFF" w:themeColor="background1"/>
                <w:sz w:val="18"/>
                <w:szCs w:val="20"/>
              </w:rPr>
              <w:t>pCODR</w:t>
            </w:r>
            <w:r w:rsidR="00865015" w:rsidRPr="002005C1">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376B572D" w:rsidR="002D7127" w:rsidRPr="00066C52" w:rsidRDefault="00066C52" w:rsidP="003B503C">
            <w:pPr>
              <w:pStyle w:val="DocumentTitle"/>
              <w:numPr>
                <w:ilvl w:val="0"/>
                <w:numId w:val="44"/>
              </w:numPr>
              <w:tabs>
                <w:tab w:val="left" w:pos="1074"/>
              </w:tabs>
              <w:spacing w:before="0" w:after="0"/>
              <w:rPr>
                <w:sz w:val="18"/>
                <w:szCs w:val="18"/>
                <w:lang w:val="fr-FR"/>
              </w:rPr>
            </w:pPr>
            <w:r w:rsidRPr="00066C52">
              <w:rPr>
                <w:color w:val="000000"/>
                <w:sz w:val="18"/>
                <w:szCs w:val="18"/>
                <w:shd w:val="clear" w:color="auto" w:fill="FFFFFF"/>
                <w:lang w:val="fr-FR"/>
              </w:rPr>
              <w:t>TITAN (</w:t>
            </w:r>
            <w:hyperlink r:id="rId14" w:tgtFrame="_blank" w:history="1">
              <w:r w:rsidRPr="00066C52">
                <w:rPr>
                  <w:rStyle w:val="Hyperlink"/>
                  <w:sz w:val="18"/>
                  <w:szCs w:val="18"/>
                  <w:bdr w:val="none" w:sz="0" w:space="0" w:color="auto" w:frame="1"/>
                  <w:shd w:val="clear" w:color="auto" w:fill="FFFFFF"/>
                  <w:lang w:val="fr-FR"/>
                </w:rPr>
                <w:t>NCT02489318</w:t>
              </w:r>
            </w:hyperlink>
            <w:r w:rsidRPr="00066C52">
              <w:rPr>
                <w:color w:val="000000"/>
                <w:sz w:val="18"/>
                <w:szCs w:val="18"/>
                <w:shd w:val="clear" w:color="auto" w:fill="FFFFFF"/>
                <w:lang w:val="fr-FR"/>
              </w:rPr>
              <w:t>); </w:t>
            </w:r>
            <w:hyperlink r:id="rId15" w:tgtFrame="_blank" w:history="1">
              <w:r w:rsidRPr="00066C52">
                <w:rPr>
                  <w:rStyle w:val="Hyperlink"/>
                  <w:sz w:val="18"/>
                  <w:szCs w:val="18"/>
                  <w:bdr w:val="none" w:sz="0" w:space="0" w:color="auto" w:frame="1"/>
                  <w:shd w:val="clear" w:color="auto" w:fill="FFFFFF"/>
                  <w:lang w:val="fr-FR"/>
                </w:rPr>
                <w:t>Chi et al, NEJM 2019</w:t>
              </w:r>
            </w:hyperlink>
            <w:r w:rsidRPr="00066C52">
              <w:rPr>
                <w:color w:val="000000"/>
                <w:sz w:val="18"/>
                <w:szCs w:val="18"/>
                <w:shd w:val="clear" w:color="auto" w:fill="FFFFFF"/>
                <w:lang w:val="fr-FR"/>
              </w:rPr>
              <w:t>; </w:t>
            </w:r>
            <w:hyperlink r:id="rId16" w:tgtFrame="_blank" w:history="1">
              <w:r w:rsidRPr="00066C52">
                <w:rPr>
                  <w:rStyle w:val="Hyperlink"/>
                  <w:sz w:val="18"/>
                  <w:szCs w:val="18"/>
                  <w:bdr w:val="none" w:sz="0" w:space="0" w:color="auto" w:frame="1"/>
                  <w:shd w:val="clear" w:color="auto" w:fill="FFFFFF"/>
                  <w:lang w:val="fr-FR"/>
                </w:rPr>
                <w:t>2019 ASCO Abstract</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005C1" w:rsidRDefault="00275E1C"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Health Canada </w:t>
            </w:r>
            <w:r w:rsidR="00D47251" w:rsidRPr="002005C1">
              <w:rPr>
                <w:color w:val="FFFFFF" w:themeColor="background1"/>
                <w:sz w:val="18"/>
                <w:szCs w:val="20"/>
              </w:rPr>
              <w:t>S</w:t>
            </w:r>
            <w:r w:rsidRPr="002005C1">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194E88" w:rsidR="00F60A6E" w:rsidRPr="00066C52" w:rsidRDefault="000635BE" w:rsidP="00F60A6E">
            <w:pPr>
              <w:pStyle w:val="DocumentTitle"/>
              <w:tabs>
                <w:tab w:val="left" w:pos="1074"/>
              </w:tabs>
              <w:spacing w:after="0"/>
              <w:rPr>
                <w:sz w:val="18"/>
                <w:szCs w:val="20"/>
              </w:rPr>
            </w:pPr>
            <w:r w:rsidRPr="00066C52">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2005C1" w:rsidRDefault="00716B05"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59F3E9E9" w:rsidR="002005C1" w:rsidRPr="00FA54C4" w:rsidRDefault="002005C1" w:rsidP="00F60A6E">
            <w:pPr>
              <w:pStyle w:val="DocumentTitle"/>
              <w:tabs>
                <w:tab w:val="left" w:pos="1074"/>
              </w:tabs>
              <w:spacing w:after="0"/>
              <w:rPr>
                <w:sz w:val="18"/>
                <w:szCs w:val="20"/>
                <w:highlight w:val="yellow"/>
              </w:rPr>
            </w:pPr>
            <w:bookmarkStart w:id="0" w:name="_GoBack"/>
            <w:bookmarkEnd w:id="0"/>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CBF3508" w:rsidR="00F60A6E" w:rsidRPr="00FA54C4" w:rsidRDefault="00F60A6E" w:rsidP="00F60A6E">
            <w:pPr>
              <w:pStyle w:val="DocumentTitle"/>
              <w:tabs>
                <w:tab w:val="left" w:pos="1074"/>
              </w:tabs>
              <w:spacing w:after="0"/>
              <w:rPr>
                <w:sz w:val="18"/>
                <w:szCs w:val="20"/>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0348491" w14:textId="1B7EF80E" w:rsidR="00066C52" w:rsidRPr="00066C52" w:rsidRDefault="00066C52" w:rsidP="00066C52">
            <w:pPr>
              <w:pStyle w:val="DocumentTitle"/>
              <w:tabs>
                <w:tab w:val="left" w:pos="1074"/>
              </w:tabs>
              <w:spacing w:after="0"/>
              <w:rPr>
                <w:sz w:val="18"/>
                <w:szCs w:val="20"/>
              </w:rPr>
            </w:pPr>
            <w:r w:rsidRPr="00066C52">
              <w:rPr>
                <w:sz w:val="18"/>
                <w:szCs w:val="20"/>
              </w:rPr>
              <w:t>NCCN</w:t>
            </w:r>
            <w:r>
              <w:rPr>
                <w:sz w:val="18"/>
                <w:szCs w:val="20"/>
              </w:rPr>
              <w:t xml:space="preserve"> </w:t>
            </w:r>
            <w:r w:rsidRPr="00066C52">
              <w:rPr>
                <w:sz w:val="18"/>
                <w:szCs w:val="20"/>
              </w:rPr>
              <w:t xml:space="preserve">Guidelines Prostate Cancer Version 2. 2019. </w:t>
            </w:r>
            <w:hyperlink r:id="rId17" w:history="1">
              <w:r w:rsidRPr="000878EC">
                <w:rPr>
                  <w:rStyle w:val="Hyperlink"/>
                  <w:sz w:val="18"/>
                  <w:szCs w:val="20"/>
                </w:rPr>
                <w:t>www.nccn.org/professionals/physician_gls/pdf/prostate.pdf</w:t>
              </w:r>
            </w:hyperlink>
            <w:r>
              <w:rPr>
                <w:sz w:val="18"/>
                <w:szCs w:val="20"/>
              </w:rPr>
              <w:t>.</w:t>
            </w:r>
            <w:r w:rsidRPr="00066C52">
              <w:rPr>
                <w:sz w:val="18"/>
                <w:szCs w:val="20"/>
              </w:rPr>
              <w:t xml:space="preserve"> </w:t>
            </w:r>
          </w:p>
          <w:p w14:paraId="49CE5B42" w14:textId="5DBE7435" w:rsidR="00066C52" w:rsidRPr="00066C52" w:rsidRDefault="00066C52" w:rsidP="00066C52">
            <w:pPr>
              <w:pStyle w:val="DocumentTitle"/>
              <w:tabs>
                <w:tab w:val="left" w:pos="1074"/>
              </w:tabs>
              <w:spacing w:after="0"/>
              <w:rPr>
                <w:sz w:val="18"/>
                <w:szCs w:val="20"/>
              </w:rPr>
            </w:pPr>
            <w:r w:rsidRPr="00066C52">
              <w:rPr>
                <w:sz w:val="18"/>
                <w:szCs w:val="20"/>
              </w:rPr>
              <w:t xml:space="preserve">American Society of Clinical Oncology. Optimizing Anticancer Therapy in Metastatic Non-Castrate Prostate Cancer: American Society of Clinical Oncology Clinical Practice Guideline. J Clin Oncol. 2018;36(15):1522-1539. </w:t>
            </w:r>
            <w:hyperlink r:id="rId18" w:history="1">
              <w:r w:rsidRPr="000878EC">
                <w:rPr>
                  <w:rStyle w:val="Hyperlink"/>
                  <w:sz w:val="18"/>
                  <w:szCs w:val="20"/>
                </w:rPr>
                <w:t>https://ascopubs.org/doi/pdf/10.1200/JCO.2018.78.0619</w:t>
              </w:r>
            </w:hyperlink>
            <w:r>
              <w:rPr>
                <w:sz w:val="18"/>
                <w:szCs w:val="20"/>
              </w:rPr>
              <w:t xml:space="preserve"> </w:t>
            </w:r>
          </w:p>
          <w:p w14:paraId="58B3F5A2" w14:textId="77777777" w:rsidR="00066C52" w:rsidRDefault="00066C52" w:rsidP="00066C52">
            <w:pPr>
              <w:pStyle w:val="DocumentTitle"/>
              <w:tabs>
                <w:tab w:val="left" w:pos="1074"/>
              </w:tabs>
              <w:spacing w:before="0" w:after="0"/>
              <w:rPr>
                <w:sz w:val="18"/>
                <w:szCs w:val="20"/>
              </w:rPr>
            </w:pPr>
          </w:p>
          <w:p w14:paraId="17E99E46" w14:textId="220DE082" w:rsidR="00066C52" w:rsidRPr="00FA54C4" w:rsidRDefault="00066C52" w:rsidP="00066C52">
            <w:pPr>
              <w:pStyle w:val="DocumentTitle"/>
              <w:tabs>
                <w:tab w:val="left" w:pos="1074"/>
              </w:tabs>
              <w:spacing w:before="0" w:after="0"/>
              <w:rPr>
                <w:sz w:val="18"/>
                <w:szCs w:val="20"/>
                <w:highlight w:val="yellow"/>
              </w:rPr>
            </w:pPr>
            <w:r w:rsidRPr="00066C52">
              <w:rPr>
                <w:sz w:val="18"/>
                <w:szCs w:val="20"/>
              </w:rPr>
              <w:t>Parker et al. Cancer of the prostate: ESMO Clinical Practice Guidelines for diagnosis, treatment and follow-</w:t>
            </w:r>
            <w:proofErr w:type="spellStart"/>
            <w:r w:rsidRPr="00066C52">
              <w:rPr>
                <w:sz w:val="18"/>
                <w:szCs w:val="20"/>
              </w:rPr>
              <w:t>up.Ann</w:t>
            </w:r>
            <w:proofErr w:type="spellEnd"/>
            <w:r w:rsidRPr="00066C52">
              <w:rPr>
                <w:sz w:val="18"/>
                <w:szCs w:val="20"/>
              </w:rPr>
              <w:t xml:space="preserve"> Oncol 2015.26 Suppl 5: v69-77 </w:t>
            </w:r>
            <w:hyperlink r:id="rId19" w:history="1">
              <w:r w:rsidRPr="000878EC">
                <w:rPr>
                  <w:rStyle w:val="Hyperlink"/>
                  <w:sz w:val="18"/>
                  <w:szCs w:val="20"/>
                </w:rPr>
                <w:t>https://www.ncbi.nlm.nih.gov/pubmed/26205393</w:t>
              </w:r>
            </w:hyperlink>
            <w:r>
              <w:rPr>
                <w:sz w:val="18"/>
                <w:szCs w:val="20"/>
              </w:rPr>
              <w:t xml:space="preserve"> </w:t>
            </w:r>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23C715E9" w:rsidR="000635BE" w:rsidRPr="00FA54C4" w:rsidRDefault="00FA54C4" w:rsidP="003B503C">
            <w:pPr>
              <w:pStyle w:val="DocumentTitle"/>
              <w:tabs>
                <w:tab w:val="left" w:pos="1074"/>
              </w:tabs>
              <w:spacing w:after="0"/>
              <w:rPr>
                <w:color w:val="C00000"/>
                <w:sz w:val="18"/>
                <w:szCs w:val="18"/>
                <w:highlight w:val="yellow"/>
              </w:rPr>
            </w:pPr>
            <w:r>
              <w:rPr>
                <w:sz w:val="18"/>
                <w:szCs w:val="18"/>
              </w:rPr>
              <w:t>T</w:t>
            </w:r>
            <w:r w:rsidRPr="00FA54C4">
              <w:rPr>
                <w:sz w:val="18"/>
                <w:szCs w:val="18"/>
              </w:rPr>
              <w:t>here is no standard of care for metastatic Castration-Sensitive Prostate Cancer (</w:t>
            </w:r>
            <w:proofErr w:type="spellStart"/>
            <w:r w:rsidRPr="00FA54C4">
              <w:rPr>
                <w:sz w:val="18"/>
                <w:szCs w:val="18"/>
              </w:rPr>
              <w:t>mCSPC</w:t>
            </w:r>
            <w:proofErr w:type="spellEnd"/>
            <w:r w:rsidRPr="00FA54C4">
              <w:rPr>
                <w:sz w:val="18"/>
                <w:szCs w:val="18"/>
              </w:rPr>
              <w:t>), patients are treated with ADT alone, chemotherapy (e.g., docetaxel), or ADT plus chemotherapy.</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2ECC9CC9" w14:textId="77777777" w:rsidR="00FA54C4" w:rsidRPr="00FA54C4" w:rsidRDefault="000635BE" w:rsidP="00FA54C4">
      <w:pPr>
        <w:pStyle w:val="ListParagraph"/>
        <w:numPr>
          <w:ilvl w:val="0"/>
          <w:numId w:val="41"/>
        </w:numPr>
        <w:rPr>
          <w:rFonts w:ascii="Arial" w:eastAsia="Times New Roman" w:hAnsi="Arial" w:cs="Arial"/>
          <w:b/>
          <w:sz w:val="18"/>
          <w:szCs w:val="18"/>
        </w:rPr>
      </w:pPr>
      <w:r w:rsidRPr="00FA54C4">
        <w:rPr>
          <w:rFonts w:ascii="Arial" w:hAnsi="Arial" w:cs="Arial"/>
          <w:b/>
          <w:sz w:val="18"/>
        </w:rPr>
        <w:t xml:space="preserve">Implementation </w:t>
      </w:r>
      <w:r w:rsidRPr="00FA54C4">
        <w:rPr>
          <w:rFonts w:ascii="Arial" w:hAnsi="Arial" w:cs="Arial"/>
          <w:b/>
          <w:sz w:val="18"/>
          <w:szCs w:val="18"/>
        </w:rPr>
        <w:t>Question</w:t>
      </w:r>
      <w:r w:rsidR="003B503C" w:rsidRPr="00FA54C4">
        <w:rPr>
          <w:rFonts w:ascii="Arial" w:hAnsi="Arial" w:cs="Arial"/>
          <w:b/>
          <w:sz w:val="18"/>
          <w:szCs w:val="18"/>
        </w:rPr>
        <w:t>s</w:t>
      </w:r>
      <w:r w:rsidRPr="00FA54C4">
        <w:rPr>
          <w:rFonts w:ascii="Arial" w:hAnsi="Arial" w:cs="Arial"/>
          <w:b/>
          <w:sz w:val="18"/>
          <w:szCs w:val="18"/>
        </w:rPr>
        <w:t xml:space="preserve">: </w:t>
      </w:r>
    </w:p>
    <w:p w14:paraId="22BEE6FF" w14:textId="5DAB67A4" w:rsidR="003B503C" w:rsidRPr="00FA54C4" w:rsidRDefault="00FA54C4" w:rsidP="00FA54C4">
      <w:pPr>
        <w:pStyle w:val="ListParagraph"/>
        <w:numPr>
          <w:ilvl w:val="0"/>
          <w:numId w:val="41"/>
        </w:numPr>
        <w:rPr>
          <w:rFonts w:ascii="Arial" w:eastAsia="Times New Roman" w:hAnsi="Arial" w:cs="Arial"/>
          <w:b/>
          <w:sz w:val="18"/>
          <w:szCs w:val="18"/>
        </w:rPr>
      </w:pPr>
      <w:r>
        <w:rPr>
          <w:rFonts w:ascii="Arial" w:hAnsi="Arial" w:cs="Arial"/>
          <w:b/>
          <w:sz w:val="18"/>
          <w:szCs w:val="18"/>
        </w:rPr>
        <w:t xml:space="preserve">3.2.1. </w:t>
      </w:r>
      <w:r w:rsidRPr="00FA54C4">
        <w:rPr>
          <w:rFonts w:ascii="Arial" w:eastAsia="Times New Roman" w:hAnsi="Arial" w:cs="Arial"/>
          <w:b/>
          <w:sz w:val="18"/>
          <w:szCs w:val="18"/>
        </w:rPr>
        <w:t xml:space="preserve">In clinical practice, is there evidence to extend the use of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plus ADT to (provided all other eligibility criteria are met):</w:t>
      </w:r>
    </w:p>
    <w:p w14:paraId="4D070B86" w14:textId="77777777" w:rsidR="00FA54C4" w:rsidRPr="00FA54C4" w:rsidRDefault="00FA54C4" w:rsidP="00FA54C4">
      <w:pPr>
        <w:pStyle w:val="ListParagraph"/>
        <w:numPr>
          <w:ilvl w:val="0"/>
          <w:numId w:val="50"/>
        </w:numPr>
        <w:rPr>
          <w:rFonts w:ascii="Arial" w:eastAsia="Times New Roman" w:hAnsi="Arial" w:cs="Arial"/>
          <w:b/>
          <w:sz w:val="18"/>
          <w:szCs w:val="18"/>
        </w:rPr>
      </w:pPr>
      <w:r w:rsidRPr="00FA54C4">
        <w:rPr>
          <w:rFonts w:ascii="Arial" w:eastAsia="Times New Roman" w:hAnsi="Arial" w:cs="Arial"/>
          <w:b/>
          <w:sz w:val="18"/>
          <w:szCs w:val="18"/>
        </w:rPr>
        <w:t>Patients with an ECOG performance status of 2 or greater?</w:t>
      </w:r>
    </w:p>
    <w:p w14:paraId="2E4E4197" w14:textId="317DE26E" w:rsidR="00FA54C4" w:rsidRDefault="00FA54C4" w:rsidP="00FA54C4">
      <w:pPr>
        <w:pStyle w:val="ListParagraph"/>
        <w:numPr>
          <w:ilvl w:val="0"/>
          <w:numId w:val="50"/>
        </w:numPr>
        <w:rPr>
          <w:rFonts w:ascii="Arial" w:eastAsia="Times New Roman" w:hAnsi="Arial" w:cs="Arial"/>
          <w:b/>
          <w:sz w:val="18"/>
          <w:szCs w:val="18"/>
        </w:rPr>
      </w:pPr>
      <w:r w:rsidRPr="00FA54C4">
        <w:rPr>
          <w:rFonts w:ascii="Arial" w:eastAsia="Times New Roman" w:hAnsi="Arial" w:cs="Arial"/>
          <w:b/>
          <w:sz w:val="18"/>
          <w:szCs w:val="18"/>
        </w:rPr>
        <w:t>Patients who had more than 6 months of ADT?</w:t>
      </w:r>
    </w:p>
    <w:p w14:paraId="45645DD1" w14:textId="62921AFC" w:rsidR="00FA54C4" w:rsidRPr="00FA54C4" w:rsidRDefault="00FA54C4" w:rsidP="00FA54C4">
      <w:pPr>
        <w:pStyle w:val="ListParagraph"/>
        <w:numPr>
          <w:ilvl w:val="0"/>
          <w:numId w:val="44"/>
        </w:numPr>
        <w:rPr>
          <w:rFonts w:ascii="Arial" w:eastAsia="Times New Roman" w:hAnsi="Arial" w:cs="Arial"/>
          <w:b/>
          <w:sz w:val="18"/>
          <w:szCs w:val="18"/>
        </w:rPr>
      </w:pPr>
      <w:r w:rsidRPr="00FA54C4">
        <w:rPr>
          <w:rFonts w:ascii="Arial" w:hAnsi="Arial" w:cs="Arial"/>
          <w:b/>
          <w:sz w:val="18"/>
          <w:szCs w:val="18"/>
        </w:rPr>
        <w:t>3.2.</w:t>
      </w:r>
      <w:r w:rsidRPr="00FA54C4">
        <w:rPr>
          <w:rFonts w:ascii="Arial" w:hAnsi="Arial" w:cs="Arial"/>
          <w:b/>
          <w:sz w:val="18"/>
          <w:szCs w:val="18"/>
        </w:rPr>
        <w:t>2</w:t>
      </w:r>
      <w:r>
        <w:rPr>
          <w:rFonts w:ascii="Arial" w:hAnsi="Arial" w:cs="Arial"/>
          <w:b/>
          <w:sz w:val="18"/>
          <w:szCs w:val="18"/>
        </w:rPr>
        <w:t>.</w:t>
      </w:r>
      <w:r w:rsidRPr="00FA54C4">
        <w:rPr>
          <w:rFonts w:ascii="Arial" w:hAnsi="Arial" w:cs="Arial"/>
          <w:b/>
          <w:sz w:val="18"/>
          <w:szCs w:val="18"/>
        </w:rPr>
        <w:t xml:space="preserve"> </w:t>
      </w:r>
      <w:r w:rsidRPr="00FA54C4">
        <w:rPr>
          <w:rFonts w:ascii="Arial" w:eastAsia="Times New Roman" w:hAnsi="Arial" w:cs="Arial"/>
          <w:b/>
          <w:sz w:val="18"/>
          <w:szCs w:val="18"/>
        </w:rPr>
        <w:t xml:space="preserve">In clinical practice, is there a specific high-risk subgroup (e.g., Gleason score 8-10, high PSA at diagnosis, etc.) that is more likely to benefit from the addition of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to ADT for the treatment of </w:t>
      </w:r>
      <w:proofErr w:type="spellStart"/>
      <w:r w:rsidRPr="00FA54C4">
        <w:rPr>
          <w:rFonts w:ascii="Arial" w:eastAsia="Times New Roman" w:hAnsi="Arial" w:cs="Arial"/>
          <w:b/>
          <w:sz w:val="18"/>
          <w:szCs w:val="18"/>
        </w:rPr>
        <w:t>mCSPC</w:t>
      </w:r>
      <w:proofErr w:type="spellEnd"/>
      <w:r w:rsidRPr="00FA54C4">
        <w:rPr>
          <w:rFonts w:ascii="Arial" w:eastAsia="Times New Roman" w:hAnsi="Arial" w:cs="Arial"/>
          <w:b/>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066C52"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3A882EE" w14:textId="77777777" w:rsidR="007F0BD8" w:rsidRPr="00EB0EEF" w:rsidRDefault="007F0BD8" w:rsidP="003B503C">
      <w:pPr>
        <w:pStyle w:val="Header"/>
        <w:tabs>
          <w:tab w:val="clear" w:pos="4320"/>
          <w:tab w:val="clear" w:pos="8640"/>
          <w:tab w:val="left" w:pos="480"/>
          <w:tab w:val="center" w:pos="4153"/>
          <w:tab w:val="right" w:pos="8306"/>
        </w:tabs>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22F2971B" w14:textId="78B7A6BE" w:rsidR="002D7127" w:rsidRPr="00FA54C4" w:rsidRDefault="004747F6" w:rsidP="00FA54C4">
      <w:pPr>
        <w:pStyle w:val="ListParagraph"/>
        <w:numPr>
          <w:ilvl w:val="0"/>
          <w:numId w:val="42"/>
        </w:numPr>
        <w:rPr>
          <w:rFonts w:ascii="Arial" w:eastAsia="Times New Roman" w:hAnsi="Arial" w:cs="Arial"/>
          <w:b/>
          <w:sz w:val="18"/>
          <w:szCs w:val="18"/>
        </w:rPr>
      </w:pPr>
      <w:r w:rsidRPr="00FA54C4">
        <w:rPr>
          <w:rFonts w:ascii="Arial" w:hAnsi="Arial" w:cs="Arial"/>
          <w:b/>
          <w:sz w:val="18"/>
        </w:rPr>
        <w:t xml:space="preserve">Implementation </w:t>
      </w:r>
      <w:r w:rsidRPr="00FA54C4">
        <w:rPr>
          <w:rFonts w:ascii="Arial" w:hAnsi="Arial" w:cs="Arial"/>
          <w:b/>
          <w:sz w:val="18"/>
          <w:szCs w:val="18"/>
        </w:rPr>
        <w:t>Question</w:t>
      </w:r>
      <w:r w:rsidR="002D7127" w:rsidRPr="00FA54C4">
        <w:rPr>
          <w:rFonts w:ascii="Arial" w:hAnsi="Arial" w:cs="Arial"/>
          <w:b/>
          <w:sz w:val="18"/>
          <w:szCs w:val="18"/>
        </w:rPr>
        <w:t>s</w:t>
      </w:r>
      <w:r w:rsidRPr="00FA54C4">
        <w:rPr>
          <w:rFonts w:ascii="Arial" w:hAnsi="Arial" w:cs="Arial"/>
          <w:b/>
          <w:sz w:val="18"/>
          <w:szCs w:val="18"/>
        </w:rPr>
        <w:t>:</w:t>
      </w:r>
      <w:r w:rsidR="00F60A6E" w:rsidRPr="00FA54C4">
        <w:rPr>
          <w:rFonts w:ascii="Arial" w:hAnsi="Arial" w:cs="Arial"/>
          <w:b/>
          <w:sz w:val="18"/>
          <w:szCs w:val="18"/>
        </w:rPr>
        <w:t xml:space="preserve"> </w:t>
      </w:r>
      <w:r w:rsidR="00FA54C4" w:rsidRPr="00FA54C4">
        <w:rPr>
          <w:rFonts w:ascii="Arial" w:eastAsia="Times New Roman" w:hAnsi="Arial" w:cs="Arial"/>
          <w:b/>
          <w:sz w:val="18"/>
          <w:szCs w:val="18"/>
        </w:rPr>
        <w:t xml:space="preserve">Please consider if there is evidence to support the optimal treatment sequencing with </w:t>
      </w:r>
      <w:proofErr w:type="spellStart"/>
      <w:r w:rsidR="00FA54C4" w:rsidRPr="00FA54C4">
        <w:rPr>
          <w:rFonts w:ascii="Arial" w:eastAsia="Times New Roman" w:hAnsi="Arial" w:cs="Arial"/>
          <w:b/>
          <w:sz w:val="18"/>
          <w:szCs w:val="18"/>
        </w:rPr>
        <w:t>apalutamide</w:t>
      </w:r>
      <w:proofErr w:type="spellEnd"/>
      <w:r w:rsidR="00FA54C4" w:rsidRPr="00FA54C4">
        <w:rPr>
          <w:rFonts w:ascii="Arial" w:eastAsia="Times New Roman" w:hAnsi="Arial" w:cs="Arial"/>
          <w:b/>
          <w:sz w:val="18"/>
          <w:szCs w:val="18"/>
        </w:rPr>
        <w:t xml:space="preserve"> plus ADT with available treatments:</w:t>
      </w:r>
    </w:p>
    <w:p w14:paraId="7116B39D" w14:textId="77777777" w:rsidR="00FA54C4" w:rsidRPr="00FA54C4" w:rsidRDefault="00FA54C4" w:rsidP="00FA54C4">
      <w:pPr>
        <w:pStyle w:val="ListParagraph"/>
        <w:numPr>
          <w:ilvl w:val="1"/>
          <w:numId w:val="42"/>
        </w:numPr>
        <w:rPr>
          <w:rFonts w:ascii="Arial" w:eastAsia="Times New Roman" w:hAnsi="Arial" w:cs="Arial"/>
          <w:b/>
          <w:sz w:val="18"/>
          <w:szCs w:val="18"/>
        </w:rPr>
      </w:pPr>
      <w:r w:rsidRPr="00FA54C4">
        <w:rPr>
          <w:rFonts w:ascii="Arial" w:eastAsia="Times New Roman" w:hAnsi="Arial" w:cs="Arial"/>
          <w:b/>
          <w:sz w:val="18"/>
          <w:szCs w:val="18"/>
        </w:rPr>
        <w:t xml:space="preserve">What treatment options (e.g., abiraterone, enzalutamide and chemotherapy) would be available following progression with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plus ADT in this setting?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and enzalutamide are the same class of drug, in clinical practice, would patients receive enzalutamide in the metastatic, castration resistant setting after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Or would patients previously treated with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be treated with other targeted androgen receptor agents (e.g., abiraterone) or chemotherapy in the subsequent line of therapy?</w:t>
      </w:r>
    </w:p>
    <w:p w14:paraId="0EF57F54" w14:textId="77777777" w:rsidR="00FA54C4" w:rsidRPr="00FA54C4" w:rsidRDefault="00FA54C4" w:rsidP="00FA54C4">
      <w:pPr>
        <w:pStyle w:val="ListParagraph"/>
        <w:numPr>
          <w:ilvl w:val="1"/>
          <w:numId w:val="42"/>
        </w:numPr>
        <w:rPr>
          <w:rFonts w:ascii="Arial" w:eastAsia="Times New Roman" w:hAnsi="Arial" w:cs="Arial"/>
          <w:b/>
          <w:sz w:val="18"/>
          <w:szCs w:val="18"/>
        </w:rPr>
      </w:pPr>
      <w:r w:rsidRPr="00FA54C4">
        <w:rPr>
          <w:rFonts w:ascii="Arial" w:eastAsia="Times New Roman" w:hAnsi="Arial" w:cs="Arial"/>
          <w:b/>
          <w:sz w:val="18"/>
          <w:szCs w:val="18"/>
        </w:rPr>
        <w:t xml:space="preserve">In what clinical scenarios would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or docetaxel be the preferred treatment in the </w:t>
      </w:r>
      <w:proofErr w:type="spellStart"/>
      <w:r w:rsidRPr="00FA54C4">
        <w:rPr>
          <w:rFonts w:ascii="Arial" w:eastAsia="Times New Roman" w:hAnsi="Arial" w:cs="Arial"/>
          <w:b/>
          <w:sz w:val="18"/>
          <w:szCs w:val="18"/>
        </w:rPr>
        <w:t>mCSPC</w:t>
      </w:r>
      <w:proofErr w:type="spellEnd"/>
      <w:r w:rsidRPr="00FA54C4">
        <w:rPr>
          <w:rFonts w:ascii="Arial" w:eastAsia="Times New Roman" w:hAnsi="Arial" w:cs="Arial"/>
          <w:b/>
          <w:sz w:val="18"/>
          <w:szCs w:val="18"/>
        </w:rPr>
        <w:t xml:space="preserve"> setting? Please comment on the preference considering patient preference, efficacy, safety, and administration.</w:t>
      </w:r>
    </w:p>
    <w:p w14:paraId="53F9FA09" w14:textId="62A79FDF" w:rsidR="00FA54C4" w:rsidRPr="00FA54C4" w:rsidRDefault="00FA54C4" w:rsidP="00FA54C4">
      <w:pPr>
        <w:pStyle w:val="ListParagraph"/>
        <w:numPr>
          <w:ilvl w:val="1"/>
          <w:numId w:val="42"/>
        </w:numPr>
        <w:rPr>
          <w:rFonts w:ascii="Arial" w:eastAsia="Times New Roman" w:hAnsi="Arial" w:cs="Arial"/>
          <w:b/>
          <w:sz w:val="18"/>
          <w:szCs w:val="18"/>
        </w:rPr>
      </w:pPr>
      <w:r w:rsidRPr="00FA54C4">
        <w:rPr>
          <w:rFonts w:ascii="Arial" w:eastAsia="Times New Roman" w:hAnsi="Arial" w:cs="Arial"/>
          <w:b/>
          <w:sz w:val="18"/>
          <w:szCs w:val="18"/>
        </w:rPr>
        <w:t xml:space="preserve">Abiraterone for newly diagnosed high-risk </w:t>
      </w:r>
      <w:proofErr w:type="spellStart"/>
      <w:r w:rsidRPr="00FA54C4">
        <w:rPr>
          <w:rFonts w:ascii="Arial" w:eastAsia="Times New Roman" w:hAnsi="Arial" w:cs="Arial"/>
          <w:b/>
          <w:sz w:val="18"/>
          <w:szCs w:val="18"/>
        </w:rPr>
        <w:t>mCSPC</w:t>
      </w:r>
      <w:proofErr w:type="spellEnd"/>
      <w:r w:rsidRPr="00FA54C4">
        <w:rPr>
          <w:rFonts w:ascii="Arial" w:eastAsia="Times New Roman" w:hAnsi="Arial" w:cs="Arial"/>
          <w:b/>
          <w:sz w:val="18"/>
          <w:szCs w:val="18"/>
        </w:rPr>
        <w:t xml:space="preserve"> without small-cell histologic features is under review at </w:t>
      </w:r>
      <w:proofErr w:type="spellStart"/>
      <w:r w:rsidRPr="00FA54C4">
        <w:rPr>
          <w:rFonts w:ascii="Arial" w:eastAsia="Times New Roman" w:hAnsi="Arial" w:cs="Arial"/>
          <w:b/>
          <w:sz w:val="18"/>
          <w:szCs w:val="18"/>
        </w:rPr>
        <w:t>pCODR</w:t>
      </w:r>
      <w:proofErr w:type="spellEnd"/>
      <w:r w:rsidRPr="00FA54C4">
        <w:rPr>
          <w:rFonts w:ascii="Arial" w:eastAsia="Times New Roman" w:hAnsi="Arial" w:cs="Arial"/>
          <w:b/>
          <w:sz w:val="18"/>
          <w:szCs w:val="18"/>
        </w:rPr>
        <w:t xml:space="preserve">. For high-risk patients, in what clinical scenarios would </w:t>
      </w:r>
      <w:proofErr w:type="spellStart"/>
      <w:r w:rsidRPr="00FA54C4">
        <w:rPr>
          <w:rFonts w:ascii="Arial" w:eastAsia="Times New Roman" w:hAnsi="Arial" w:cs="Arial"/>
          <w:b/>
          <w:sz w:val="18"/>
          <w:szCs w:val="18"/>
        </w:rPr>
        <w:t>apalutamide</w:t>
      </w:r>
      <w:proofErr w:type="spellEnd"/>
      <w:r w:rsidRPr="00FA54C4">
        <w:rPr>
          <w:rFonts w:ascii="Arial" w:eastAsia="Times New Roman" w:hAnsi="Arial" w:cs="Arial"/>
          <w:b/>
          <w:sz w:val="18"/>
          <w:szCs w:val="18"/>
        </w:rPr>
        <w:t xml:space="preserve"> or abiraterone be the preferred treatment? Please comment on the preference considering patient preference, efficacy, safety, and administration.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434D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FB2D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A50186"/>
    <w:multiLevelType w:val="hybridMultilevel"/>
    <w:tmpl w:val="4C583748"/>
    <w:lvl w:ilvl="0" w:tplc="10090017">
      <w:start w:val="1"/>
      <w:numFmt w:val="lowerLetter"/>
      <w:lvlText w:val="%1)"/>
      <w:lvlJc w:val="left"/>
      <w:pPr>
        <w:ind w:left="2018" w:hanging="360"/>
      </w:pPr>
    </w:lvl>
    <w:lvl w:ilvl="1" w:tplc="10090019">
      <w:start w:val="1"/>
      <w:numFmt w:val="lowerLetter"/>
      <w:lvlText w:val="%2."/>
      <w:lvlJc w:val="left"/>
      <w:pPr>
        <w:ind w:left="2738" w:hanging="360"/>
      </w:pPr>
    </w:lvl>
    <w:lvl w:ilvl="2" w:tplc="1009001B" w:tentative="1">
      <w:start w:val="1"/>
      <w:numFmt w:val="lowerRoman"/>
      <w:lvlText w:val="%3."/>
      <w:lvlJc w:val="right"/>
      <w:pPr>
        <w:ind w:left="3458" w:hanging="180"/>
      </w:pPr>
    </w:lvl>
    <w:lvl w:ilvl="3" w:tplc="1009000F" w:tentative="1">
      <w:start w:val="1"/>
      <w:numFmt w:val="decimal"/>
      <w:lvlText w:val="%4."/>
      <w:lvlJc w:val="left"/>
      <w:pPr>
        <w:ind w:left="4178" w:hanging="360"/>
      </w:pPr>
    </w:lvl>
    <w:lvl w:ilvl="4" w:tplc="10090019" w:tentative="1">
      <w:start w:val="1"/>
      <w:numFmt w:val="lowerLetter"/>
      <w:lvlText w:val="%5."/>
      <w:lvlJc w:val="left"/>
      <w:pPr>
        <w:ind w:left="4898" w:hanging="360"/>
      </w:pPr>
    </w:lvl>
    <w:lvl w:ilvl="5" w:tplc="1009001B" w:tentative="1">
      <w:start w:val="1"/>
      <w:numFmt w:val="lowerRoman"/>
      <w:lvlText w:val="%6."/>
      <w:lvlJc w:val="right"/>
      <w:pPr>
        <w:ind w:left="5618" w:hanging="180"/>
      </w:pPr>
    </w:lvl>
    <w:lvl w:ilvl="6" w:tplc="1009000F" w:tentative="1">
      <w:start w:val="1"/>
      <w:numFmt w:val="decimal"/>
      <w:lvlText w:val="%7."/>
      <w:lvlJc w:val="left"/>
      <w:pPr>
        <w:ind w:left="6338" w:hanging="360"/>
      </w:pPr>
    </w:lvl>
    <w:lvl w:ilvl="7" w:tplc="10090019" w:tentative="1">
      <w:start w:val="1"/>
      <w:numFmt w:val="lowerLetter"/>
      <w:lvlText w:val="%8."/>
      <w:lvlJc w:val="left"/>
      <w:pPr>
        <w:ind w:left="7058" w:hanging="360"/>
      </w:pPr>
    </w:lvl>
    <w:lvl w:ilvl="8" w:tplc="1009001B" w:tentative="1">
      <w:start w:val="1"/>
      <w:numFmt w:val="lowerRoman"/>
      <w:lvlText w:val="%9."/>
      <w:lvlJc w:val="right"/>
      <w:pPr>
        <w:ind w:left="7778"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38DE0B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512" w:hanging="360"/>
      </w:pPr>
      <w:rPr>
        <w:rFonts w:ascii="Courier New" w:hAnsi="Courier New" w:cs="Courier New" w:hint="default"/>
      </w:rPr>
    </w:lvl>
    <w:lvl w:ilvl="2" w:tplc="10090005">
      <w:start w:val="1"/>
      <w:numFmt w:val="bullet"/>
      <w:lvlText w:val=""/>
      <w:lvlJc w:val="left"/>
      <w:pPr>
        <w:ind w:left="1232" w:hanging="360"/>
      </w:pPr>
      <w:rPr>
        <w:rFonts w:ascii="Wingdings" w:hAnsi="Wingdings" w:hint="default"/>
      </w:rPr>
    </w:lvl>
    <w:lvl w:ilvl="3" w:tplc="10090001">
      <w:start w:val="1"/>
      <w:numFmt w:val="bullet"/>
      <w:lvlText w:val=""/>
      <w:lvlJc w:val="left"/>
      <w:pPr>
        <w:ind w:left="1952" w:hanging="360"/>
      </w:pPr>
      <w:rPr>
        <w:rFonts w:ascii="Symbol" w:hAnsi="Symbol" w:hint="default"/>
      </w:rPr>
    </w:lvl>
    <w:lvl w:ilvl="4" w:tplc="10090003" w:tentative="1">
      <w:start w:val="1"/>
      <w:numFmt w:val="bullet"/>
      <w:lvlText w:val="o"/>
      <w:lvlJc w:val="left"/>
      <w:pPr>
        <w:ind w:left="2672" w:hanging="360"/>
      </w:pPr>
      <w:rPr>
        <w:rFonts w:ascii="Courier New" w:hAnsi="Courier New" w:cs="Courier New" w:hint="default"/>
      </w:rPr>
    </w:lvl>
    <w:lvl w:ilvl="5" w:tplc="10090005" w:tentative="1">
      <w:start w:val="1"/>
      <w:numFmt w:val="bullet"/>
      <w:lvlText w:val=""/>
      <w:lvlJc w:val="left"/>
      <w:pPr>
        <w:ind w:left="3392" w:hanging="360"/>
      </w:pPr>
      <w:rPr>
        <w:rFonts w:ascii="Wingdings" w:hAnsi="Wingdings" w:hint="default"/>
      </w:rPr>
    </w:lvl>
    <w:lvl w:ilvl="6" w:tplc="10090001" w:tentative="1">
      <w:start w:val="1"/>
      <w:numFmt w:val="bullet"/>
      <w:lvlText w:val=""/>
      <w:lvlJc w:val="left"/>
      <w:pPr>
        <w:ind w:left="4112" w:hanging="360"/>
      </w:pPr>
      <w:rPr>
        <w:rFonts w:ascii="Symbol" w:hAnsi="Symbol" w:hint="default"/>
      </w:rPr>
    </w:lvl>
    <w:lvl w:ilvl="7" w:tplc="10090003" w:tentative="1">
      <w:start w:val="1"/>
      <w:numFmt w:val="bullet"/>
      <w:lvlText w:val="o"/>
      <w:lvlJc w:val="left"/>
      <w:pPr>
        <w:ind w:left="4832" w:hanging="360"/>
      </w:pPr>
      <w:rPr>
        <w:rFonts w:ascii="Courier New" w:hAnsi="Courier New" w:cs="Courier New" w:hint="default"/>
      </w:rPr>
    </w:lvl>
    <w:lvl w:ilvl="8" w:tplc="10090005" w:tentative="1">
      <w:start w:val="1"/>
      <w:numFmt w:val="bullet"/>
      <w:lvlText w:val=""/>
      <w:lvlJc w:val="left"/>
      <w:pPr>
        <w:ind w:left="5552"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6"/>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6C52"/>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05C1"/>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D7127"/>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5F"/>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B503C"/>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4C4"/>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532">
      <w:bodyDiv w:val="1"/>
      <w:marLeft w:val="0"/>
      <w:marRight w:val="0"/>
      <w:marTop w:val="0"/>
      <w:marBottom w:val="0"/>
      <w:divBdr>
        <w:top w:val="none" w:sz="0" w:space="0" w:color="auto"/>
        <w:left w:val="none" w:sz="0" w:space="0" w:color="auto"/>
        <w:bottom w:val="none" w:sz="0" w:space="0" w:color="auto"/>
        <w:right w:val="none" w:sz="0" w:space="0" w:color="auto"/>
      </w:divBdr>
    </w:div>
    <w:div w:id="94520828">
      <w:bodyDiv w:val="1"/>
      <w:marLeft w:val="0"/>
      <w:marRight w:val="0"/>
      <w:marTop w:val="0"/>
      <w:marBottom w:val="0"/>
      <w:divBdr>
        <w:top w:val="none" w:sz="0" w:space="0" w:color="auto"/>
        <w:left w:val="none" w:sz="0" w:space="0" w:color="auto"/>
        <w:bottom w:val="none" w:sz="0" w:space="0" w:color="auto"/>
        <w:right w:val="none" w:sz="0" w:space="0" w:color="auto"/>
      </w:divBdr>
    </w:div>
    <w:div w:id="206069331">
      <w:bodyDiv w:val="1"/>
      <w:marLeft w:val="0"/>
      <w:marRight w:val="0"/>
      <w:marTop w:val="0"/>
      <w:marBottom w:val="0"/>
      <w:divBdr>
        <w:top w:val="none" w:sz="0" w:space="0" w:color="auto"/>
        <w:left w:val="none" w:sz="0" w:space="0" w:color="auto"/>
        <w:bottom w:val="none" w:sz="0" w:space="0" w:color="auto"/>
        <w:right w:val="none" w:sz="0" w:space="0" w:color="auto"/>
      </w:divBdr>
      <w:divsChild>
        <w:div w:id="633371910">
          <w:marLeft w:val="0"/>
          <w:marRight w:val="0"/>
          <w:marTop w:val="0"/>
          <w:marBottom w:val="0"/>
          <w:divBdr>
            <w:top w:val="none" w:sz="0" w:space="0" w:color="auto"/>
            <w:left w:val="none" w:sz="0" w:space="0" w:color="auto"/>
            <w:bottom w:val="none" w:sz="0" w:space="0" w:color="auto"/>
            <w:right w:val="none" w:sz="0" w:space="0" w:color="auto"/>
          </w:divBdr>
        </w:div>
        <w:div w:id="2025740795">
          <w:marLeft w:val="0"/>
          <w:marRight w:val="0"/>
          <w:marTop w:val="0"/>
          <w:marBottom w:val="0"/>
          <w:divBdr>
            <w:top w:val="none" w:sz="0" w:space="0" w:color="auto"/>
            <w:left w:val="none" w:sz="0" w:space="0" w:color="auto"/>
            <w:bottom w:val="none" w:sz="0" w:space="0" w:color="auto"/>
            <w:right w:val="none" w:sz="0" w:space="0" w:color="auto"/>
          </w:divBdr>
        </w:div>
      </w:divsChild>
    </w:div>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570703206">
      <w:bodyDiv w:val="1"/>
      <w:marLeft w:val="0"/>
      <w:marRight w:val="0"/>
      <w:marTop w:val="0"/>
      <w:marBottom w:val="0"/>
      <w:divBdr>
        <w:top w:val="none" w:sz="0" w:space="0" w:color="auto"/>
        <w:left w:val="none" w:sz="0" w:space="0" w:color="auto"/>
        <w:bottom w:val="none" w:sz="0" w:space="0" w:color="auto"/>
        <w:right w:val="none" w:sz="0" w:space="0" w:color="auto"/>
      </w:divBdr>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49134260">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65432966">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ascopubs.org/doi/pdf/10.1200/JCO.2018.78.06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cn.org/professionals/physician_gls/pdf/prostate.pdf" TargetMode="External"/><Relationship Id="rId2" Type="http://schemas.openxmlformats.org/officeDocument/2006/relationships/numbering" Target="numbering.xml"/><Relationship Id="rId16" Type="http://schemas.openxmlformats.org/officeDocument/2006/relationships/hyperlink" Target="https://abstracts.asco.org/239/AbstView_239_25200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903307?url_ver=Z39.88-2003&amp;rfr_id=ori:rid:crossref.org&amp;rfr_dat=cr_pub%3dpubmed" TargetMode="External"/><Relationship Id="rId10" Type="http://schemas.openxmlformats.org/officeDocument/2006/relationships/header" Target="header1.xml"/><Relationship Id="rId19" Type="http://schemas.openxmlformats.org/officeDocument/2006/relationships/hyperlink" Target="https://www.ncbi.nlm.nih.gov/pubmed/26205393"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4893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F1EB-D2C7-4BA7-8107-3F6D4BB6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2019-08-21T19:51:00Z</dcterms:modified>
</cp:coreProperties>
</file>