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3FAC985" w:rsidR="00121EB1" w:rsidRPr="00EB0EEF" w:rsidRDefault="00CB3E63" w:rsidP="00EB0EEF">
            <w:pPr>
              <w:pStyle w:val="DocumentTitle"/>
              <w:tabs>
                <w:tab w:val="left" w:pos="1074"/>
              </w:tabs>
              <w:spacing w:before="0" w:after="0"/>
              <w:rPr>
                <w:sz w:val="18"/>
                <w:szCs w:val="20"/>
              </w:rPr>
            </w:pPr>
            <w:r>
              <w:rPr>
                <w:sz w:val="18"/>
                <w:szCs w:val="20"/>
              </w:rPr>
              <w:t>pCODR 10203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289AF97" w:rsidR="00F369F8" w:rsidRPr="00EB0EEF" w:rsidRDefault="00CB3E63" w:rsidP="00CB3E63">
            <w:pPr>
              <w:pStyle w:val="DocumentTitle"/>
              <w:tabs>
                <w:tab w:val="left" w:pos="1074"/>
              </w:tabs>
              <w:spacing w:before="0" w:after="0"/>
              <w:ind w:left="1074" w:hanging="1074"/>
              <w:rPr>
                <w:sz w:val="18"/>
                <w:szCs w:val="20"/>
              </w:rPr>
            </w:pPr>
            <w:r>
              <w:rPr>
                <w:sz w:val="18"/>
                <w:szCs w:val="20"/>
              </w:rPr>
              <w:t>Niraparib (</w:t>
            </w:r>
            <w:proofErr w:type="spellStart"/>
            <w:r>
              <w:rPr>
                <w:sz w:val="18"/>
                <w:szCs w:val="20"/>
              </w:rPr>
              <w:t>Zejula</w:t>
            </w:r>
            <w:proofErr w:type="spellEnd"/>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86189D5" w:rsidR="00F369F8" w:rsidRPr="00EB0EEF" w:rsidRDefault="00CB3E63" w:rsidP="00CB3E63">
            <w:pPr>
              <w:pStyle w:val="DocumentTitle"/>
              <w:tabs>
                <w:tab w:val="left" w:pos="1074"/>
              </w:tabs>
              <w:spacing w:after="0"/>
              <w:rPr>
                <w:sz w:val="18"/>
                <w:szCs w:val="20"/>
              </w:rPr>
            </w:pPr>
            <w:r>
              <w:rPr>
                <w:sz w:val="18"/>
                <w:szCs w:val="20"/>
              </w:rPr>
              <w:t>A</w:t>
            </w:r>
            <w:r w:rsidRPr="00CB3E63">
              <w:rPr>
                <w:sz w:val="18"/>
                <w:szCs w:val="20"/>
              </w:rPr>
              <w:t>s monotherapy for the maintenance treatment of female adult patients with</w:t>
            </w:r>
            <w:r>
              <w:rPr>
                <w:sz w:val="18"/>
                <w:szCs w:val="20"/>
              </w:rPr>
              <w:t xml:space="preserve"> </w:t>
            </w:r>
            <w:r w:rsidRPr="00CB3E63">
              <w:rPr>
                <w:sz w:val="18"/>
                <w:szCs w:val="20"/>
              </w:rPr>
              <w:t>recurrent epithelial ovarian, fallopian tube, or primary peritoneal cancer who are in a complete or partial response to</w:t>
            </w:r>
            <w:r>
              <w:rPr>
                <w:sz w:val="18"/>
                <w:szCs w:val="20"/>
              </w:rPr>
              <w:t xml:space="preserve"> </w:t>
            </w:r>
            <w:r w:rsidRPr="00CB3E63">
              <w:rPr>
                <w:sz w:val="18"/>
                <w:szCs w:val="20"/>
              </w:rPr>
              <w:t>platinum-based chemotherapy.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6A0EEA7" w:rsidR="00F369F8" w:rsidRPr="00EB0EEF" w:rsidRDefault="00CB3E63" w:rsidP="00EB0EEF">
            <w:pPr>
              <w:pStyle w:val="DocumentTitle"/>
              <w:tabs>
                <w:tab w:val="left" w:pos="1074"/>
              </w:tabs>
              <w:spacing w:before="0" w:after="0"/>
              <w:rPr>
                <w:sz w:val="18"/>
                <w:szCs w:val="20"/>
              </w:rPr>
            </w:pPr>
            <w:r>
              <w:rPr>
                <w:sz w:val="18"/>
                <w:szCs w:val="20"/>
              </w:rPr>
              <w:t>As per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373258B4" w14:textId="491DF643" w:rsidR="00CB3E63" w:rsidRPr="00CB3E63" w:rsidRDefault="00CB3E63" w:rsidP="000028EA">
            <w:pPr>
              <w:pStyle w:val="DocumentTitle"/>
              <w:numPr>
                <w:ilvl w:val="0"/>
                <w:numId w:val="44"/>
              </w:numPr>
              <w:tabs>
                <w:tab w:val="left" w:pos="1074"/>
              </w:tabs>
              <w:spacing w:before="0" w:after="0"/>
              <w:ind w:left="245" w:hanging="180"/>
              <w:rPr>
                <w:sz w:val="18"/>
                <w:szCs w:val="20"/>
              </w:rPr>
            </w:pPr>
            <w:r w:rsidRPr="00CB3E63">
              <w:rPr>
                <w:sz w:val="18"/>
                <w:szCs w:val="20"/>
                <w:lang w:val="en-US"/>
              </w:rPr>
              <w:t>ENGOT-OV16/NOVA (</w:t>
            </w:r>
            <w:hyperlink r:id="rId14" w:history="1">
              <w:r w:rsidRPr="00CB3E63">
                <w:rPr>
                  <w:rStyle w:val="Hyperlink"/>
                  <w:sz w:val="18"/>
                  <w:szCs w:val="20"/>
                  <w:lang w:val="en-US"/>
                </w:rPr>
                <w:t>NCT01847274</w:t>
              </w:r>
            </w:hyperlink>
            <w:r w:rsidRPr="00CB3E63">
              <w:rPr>
                <w:sz w:val="18"/>
                <w:szCs w:val="20"/>
                <w:u w:val="single"/>
                <w:lang w:val="en-US"/>
              </w:rPr>
              <w:t xml:space="preserve">) </w:t>
            </w:r>
          </w:p>
          <w:p w14:paraId="52AF8FBD" w14:textId="4FDB1822" w:rsidR="00CC380E" w:rsidRPr="00CB3E63" w:rsidRDefault="007B5D30" w:rsidP="00447101">
            <w:pPr>
              <w:pStyle w:val="DocumentTitle"/>
              <w:numPr>
                <w:ilvl w:val="0"/>
                <w:numId w:val="44"/>
              </w:numPr>
              <w:tabs>
                <w:tab w:val="left" w:pos="1074"/>
              </w:tabs>
              <w:spacing w:before="0" w:after="0"/>
              <w:ind w:left="245" w:hanging="180"/>
              <w:rPr>
                <w:sz w:val="18"/>
                <w:szCs w:val="20"/>
              </w:rPr>
            </w:pPr>
            <w:hyperlink r:id="rId15" w:history="1">
              <w:r w:rsidR="00447101" w:rsidRPr="00447101">
                <w:rPr>
                  <w:rStyle w:val="Hyperlink"/>
                  <w:sz w:val="18"/>
                  <w:szCs w:val="20"/>
                </w:rPr>
                <w:t>Del Campo et al., 2019</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669D08A0" w:rsidR="00275E1C" w:rsidRPr="00EB0EEF" w:rsidRDefault="00447101" w:rsidP="00EB0EEF">
            <w:pPr>
              <w:pStyle w:val="DocumentTitle"/>
              <w:tabs>
                <w:tab w:val="left" w:pos="1074"/>
              </w:tabs>
              <w:spacing w:before="0" w:after="0"/>
              <w:rPr>
                <w:color w:val="C00000"/>
                <w:sz w:val="18"/>
                <w:szCs w:val="20"/>
              </w:rPr>
            </w:pPr>
            <w:r w:rsidRPr="00447101">
              <w:rPr>
                <w:sz w:val="18"/>
                <w:szCs w:val="20"/>
              </w:rPr>
              <w:t>Approved</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1AE2DAB7" w14:textId="77777777" w:rsidR="00275E1C" w:rsidRDefault="007B5D30" w:rsidP="00447101">
            <w:pPr>
              <w:pStyle w:val="DocumentTitle"/>
              <w:tabs>
                <w:tab w:val="left" w:pos="1074"/>
              </w:tabs>
              <w:spacing w:before="0" w:after="0"/>
              <w:rPr>
                <w:sz w:val="18"/>
                <w:szCs w:val="20"/>
              </w:rPr>
            </w:pPr>
            <w:hyperlink r:id="rId16" w:history="1">
              <w:r w:rsidR="00447101" w:rsidRPr="00447101">
                <w:rPr>
                  <w:rStyle w:val="Hyperlink"/>
                  <w:sz w:val="18"/>
                  <w:szCs w:val="20"/>
                </w:rPr>
                <w:t>March 27, 2017</w:t>
              </w:r>
            </w:hyperlink>
          </w:p>
          <w:p w14:paraId="2EE07483" w14:textId="59E20A10" w:rsidR="00447101" w:rsidRPr="00447101" w:rsidRDefault="00447101" w:rsidP="00447101">
            <w:pPr>
              <w:pStyle w:val="DocumentTitle"/>
              <w:tabs>
                <w:tab w:val="left" w:pos="1074"/>
              </w:tabs>
              <w:spacing w:before="0" w:after="0"/>
              <w:rPr>
                <w:sz w:val="18"/>
                <w:szCs w:val="20"/>
              </w:rPr>
            </w:pPr>
            <w:r>
              <w:rPr>
                <w:sz w:val="18"/>
                <w:szCs w:val="20"/>
              </w:rPr>
              <w:t>F</w:t>
            </w:r>
            <w:r w:rsidRPr="00447101">
              <w:rPr>
                <w:sz w:val="18"/>
                <w:szCs w:val="20"/>
              </w:rPr>
              <w:t>or the maintenance treatment of adult patients with recurrent epithelial ovarian, fallopian tube, or primary peritoneal cancer who are in complete or partial response to platinum-based chemotherapy.</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16DA6D2F" w14:textId="54EB682E" w:rsidR="00F369F8" w:rsidRPr="00117C7A" w:rsidRDefault="007B5D30" w:rsidP="00117C7A">
            <w:pPr>
              <w:pStyle w:val="DocumentTitle"/>
              <w:tabs>
                <w:tab w:val="left" w:pos="1074"/>
              </w:tabs>
              <w:spacing w:before="0" w:after="0"/>
              <w:rPr>
                <w:sz w:val="18"/>
                <w:szCs w:val="20"/>
              </w:rPr>
            </w:pPr>
            <w:hyperlink r:id="rId17" w:history="1">
              <w:r w:rsidR="00117C7A" w:rsidRPr="002939C6">
                <w:rPr>
                  <w:rStyle w:val="Hyperlink"/>
                  <w:sz w:val="18"/>
                  <w:szCs w:val="20"/>
                </w:rPr>
                <w:t>November 27, 2017</w:t>
              </w:r>
            </w:hyperlink>
            <w:r w:rsidR="002939C6">
              <w:rPr>
                <w:sz w:val="18"/>
                <w:szCs w:val="20"/>
              </w:rPr>
              <w:t xml:space="preserve"> </w:t>
            </w:r>
          </w:p>
          <w:p w14:paraId="4382D7E4" w14:textId="3B2BB998" w:rsidR="00117C7A" w:rsidRPr="00117C7A" w:rsidRDefault="00117C7A" w:rsidP="00117C7A">
            <w:pPr>
              <w:pStyle w:val="DocumentTitle"/>
              <w:tabs>
                <w:tab w:val="left" w:pos="1074"/>
              </w:tabs>
              <w:spacing w:before="0" w:after="0"/>
              <w:rPr>
                <w:sz w:val="18"/>
                <w:szCs w:val="20"/>
              </w:rPr>
            </w:pPr>
            <w:r>
              <w:rPr>
                <w:sz w:val="18"/>
                <w:szCs w:val="20"/>
              </w:rPr>
              <w:t xml:space="preserve">As </w:t>
            </w:r>
            <w:r w:rsidRPr="00117C7A">
              <w:rPr>
                <w:sz w:val="18"/>
                <w:szCs w:val="20"/>
              </w:rPr>
              <w:t>monotherapy for the maintenance treatment of adult patients with platinum-sensitive relapsed high grade serous epithelial ovarian, fallopian tube, or primary peritoneal cancer who are in response (complete or partial) to platinum-based chemotherapy.</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748A241" w14:textId="583BE1AB" w:rsidR="000730EA" w:rsidRPr="000730EA" w:rsidRDefault="007B5D30" w:rsidP="000730EA">
            <w:pPr>
              <w:pStyle w:val="DocumentTitle"/>
              <w:tabs>
                <w:tab w:val="left" w:pos="1074"/>
              </w:tabs>
              <w:spacing w:after="0"/>
              <w:rPr>
                <w:sz w:val="18"/>
                <w:szCs w:val="20"/>
              </w:rPr>
            </w:pPr>
            <w:hyperlink r:id="rId18" w:history="1">
              <w:r w:rsidR="000730EA" w:rsidRPr="000730EA">
                <w:rPr>
                  <w:rStyle w:val="Hyperlink"/>
                  <w:sz w:val="18"/>
                  <w:szCs w:val="20"/>
                </w:rPr>
                <w:t>NCCN</w:t>
              </w:r>
            </w:hyperlink>
          </w:p>
          <w:p w14:paraId="11188E3D" w14:textId="77777777" w:rsidR="000730EA" w:rsidRDefault="007B5D30" w:rsidP="000730EA">
            <w:pPr>
              <w:pStyle w:val="DocumentTitle"/>
              <w:tabs>
                <w:tab w:val="left" w:pos="1074"/>
              </w:tabs>
              <w:spacing w:after="0"/>
              <w:rPr>
                <w:sz w:val="18"/>
                <w:szCs w:val="20"/>
              </w:rPr>
            </w:pPr>
            <w:hyperlink r:id="rId19" w:history="1">
              <w:r w:rsidR="000730EA" w:rsidRPr="000730EA">
                <w:rPr>
                  <w:rStyle w:val="Hyperlink"/>
                  <w:sz w:val="18"/>
                  <w:szCs w:val="20"/>
                </w:rPr>
                <w:t>ASCO</w:t>
              </w:r>
            </w:hyperlink>
            <w:r w:rsidR="000730EA" w:rsidRPr="000730EA">
              <w:rPr>
                <w:sz w:val="18"/>
                <w:szCs w:val="20"/>
              </w:rPr>
              <w:t xml:space="preserve"> </w:t>
            </w:r>
          </w:p>
          <w:p w14:paraId="17E99E46" w14:textId="0D1402C3" w:rsidR="00420EEA" w:rsidRPr="000730EA" w:rsidRDefault="007B5D30" w:rsidP="000730EA">
            <w:pPr>
              <w:pStyle w:val="DocumentTitle"/>
              <w:tabs>
                <w:tab w:val="left" w:pos="1074"/>
              </w:tabs>
              <w:spacing w:after="0"/>
              <w:rPr>
                <w:sz w:val="18"/>
                <w:szCs w:val="20"/>
              </w:rPr>
            </w:pPr>
            <w:hyperlink r:id="rId20" w:history="1">
              <w:r w:rsidR="000730EA" w:rsidRPr="000730EA">
                <w:rPr>
                  <w:rStyle w:val="Hyperlink"/>
                  <w:sz w:val="18"/>
                  <w:szCs w:val="20"/>
                </w:rPr>
                <w:t>ESMO</w:t>
              </w:r>
            </w:hyperlink>
            <w:r w:rsidR="000730EA" w:rsidRPr="000730EA">
              <w:rPr>
                <w:sz w:val="18"/>
                <w:szCs w:val="20"/>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7DF9F287" w14:textId="1D4559FE" w:rsidR="00E00AD0" w:rsidRDefault="00E00AD0" w:rsidP="005C6EB4">
            <w:pPr>
              <w:pStyle w:val="DocumentTitle"/>
              <w:tabs>
                <w:tab w:val="left" w:pos="1074"/>
              </w:tabs>
              <w:spacing w:before="0" w:after="0"/>
              <w:rPr>
                <w:sz w:val="18"/>
                <w:szCs w:val="18"/>
              </w:rPr>
            </w:pPr>
            <w:proofErr w:type="spellStart"/>
            <w:r w:rsidRPr="00E00AD0">
              <w:rPr>
                <w:sz w:val="18"/>
                <w:szCs w:val="18"/>
              </w:rPr>
              <w:t>Olaparib</w:t>
            </w:r>
            <w:proofErr w:type="spellEnd"/>
            <w:r w:rsidRPr="00E00AD0">
              <w:rPr>
                <w:sz w:val="18"/>
                <w:szCs w:val="18"/>
              </w:rPr>
              <w:t xml:space="preserve"> is funded in almost all jurisdictions as monotherapy maintenance treatment of platinum sensitive, relapsed, BRCA-mutated, high grade serous epithelial ovarian, fallopian tube, or primary peritoneal cancer. </w:t>
            </w:r>
            <w:r>
              <w:rPr>
                <w:sz w:val="18"/>
                <w:szCs w:val="18"/>
              </w:rPr>
              <w:t xml:space="preserve">There is no available targeted </w:t>
            </w:r>
            <w:r w:rsidR="00853763">
              <w:rPr>
                <w:sz w:val="18"/>
                <w:szCs w:val="18"/>
              </w:rPr>
              <w:t xml:space="preserve">maintenance </w:t>
            </w:r>
            <w:r>
              <w:rPr>
                <w:sz w:val="18"/>
                <w:szCs w:val="18"/>
              </w:rPr>
              <w:t xml:space="preserve">therapy for non-BRCA-mutated cancers. </w:t>
            </w:r>
            <w:r w:rsidRPr="00E00AD0">
              <w:rPr>
                <w:sz w:val="18"/>
                <w:szCs w:val="18"/>
              </w:rPr>
              <w:t xml:space="preserve">Some patients may receive best supportive care/observation. </w:t>
            </w:r>
          </w:p>
          <w:p w14:paraId="38B06A6C" w14:textId="77777777" w:rsidR="00E00AD0" w:rsidRDefault="00E00AD0" w:rsidP="005C6EB4">
            <w:pPr>
              <w:pStyle w:val="DocumentTitle"/>
              <w:tabs>
                <w:tab w:val="left" w:pos="1074"/>
              </w:tabs>
              <w:spacing w:before="0" w:after="0"/>
              <w:rPr>
                <w:sz w:val="18"/>
                <w:szCs w:val="18"/>
              </w:rPr>
            </w:pPr>
          </w:p>
          <w:p w14:paraId="09ECBE82" w14:textId="27ECD52C" w:rsidR="00E00AD0" w:rsidRPr="00EB0EEF" w:rsidRDefault="00E00AD0" w:rsidP="005C6EB4">
            <w:pPr>
              <w:pStyle w:val="DocumentTitle"/>
              <w:tabs>
                <w:tab w:val="left" w:pos="1074"/>
              </w:tabs>
              <w:spacing w:before="0" w:after="0"/>
              <w:rPr>
                <w:color w:val="C00000"/>
                <w:sz w:val="18"/>
                <w:szCs w:val="20"/>
              </w:rPr>
            </w:pPr>
            <w:r w:rsidRPr="00A1010E">
              <w:rPr>
                <w:sz w:val="18"/>
                <w:szCs w:val="18"/>
              </w:rPr>
              <w:t>See Appendix B – Provinci</w:t>
            </w:r>
            <w:r>
              <w:rPr>
                <w:sz w:val="18"/>
                <w:szCs w:val="18"/>
              </w:rPr>
              <w:t>al Funding of Treatments for Ovarian Cancer (OC)</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3BA3BC61" w14:textId="19FA271C" w:rsidR="00BF2162" w:rsidRPr="00BF2162" w:rsidRDefault="001855C2" w:rsidP="00D92FA5">
      <w:pPr>
        <w:pStyle w:val="pCODR11Bullet1stLevel"/>
        <w:numPr>
          <w:ilvl w:val="0"/>
          <w:numId w:val="42"/>
        </w:numPr>
        <w:spacing w:after="120" w:line="276" w:lineRule="auto"/>
        <w:ind w:left="1094" w:right="864" w:hanging="187"/>
        <w:rPr>
          <w:rFonts w:ascii="Arial" w:hAnsi="Arial" w:cs="Arial"/>
          <w:sz w:val="18"/>
        </w:rPr>
      </w:pPr>
      <w:r w:rsidRPr="00BF2162">
        <w:rPr>
          <w:rFonts w:ascii="Arial" w:hAnsi="Arial" w:cs="Arial"/>
          <w:sz w:val="18"/>
        </w:rPr>
        <w:t xml:space="preserve">If more than one treatment </w:t>
      </w:r>
      <w:r w:rsidR="00CD64AE" w:rsidRPr="00BF2162">
        <w:rPr>
          <w:rFonts w:ascii="Arial" w:hAnsi="Arial" w:cs="Arial"/>
          <w:sz w:val="18"/>
        </w:rPr>
        <w:t xml:space="preserve">is </w:t>
      </w:r>
      <w:r w:rsidRPr="00BF2162">
        <w:rPr>
          <w:rFonts w:ascii="Arial" w:hAnsi="Arial" w:cs="Arial"/>
          <w:sz w:val="18"/>
        </w:rPr>
        <w:t>funded in your province, identify the treatment(s) that would be the most appropriate comparator for the drug under review</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1A9EC43C" w14:textId="6F88693D" w:rsidR="007A7C07" w:rsidRPr="007B5D30" w:rsidRDefault="002428F1" w:rsidP="007B5D30">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7B5D30">
        <w:tc>
          <w:tcPr>
            <w:tcW w:w="10120"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27D97634" w14:textId="5F3A2F5C" w:rsidR="007B5D30" w:rsidRPr="007B5D30" w:rsidRDefault="007B5D30" w:rsidP="007B5D30">
      <w:pPr>
        <w:pStyle w:val="BodyText"/>
        <w:spacing w:line="276" w:lineRule="auto"/>
        <w:ind w:left="720"/>
        <w:rPr>
          <w:rFonts w:ascii="Arial" w:hAnsi="Arial" w:cs="Arial"/>
          <w:sz w:val="18"/>
          <w:szCs w:val="18"/>
        </w:rPr>
      </w:pPr>
      <w:r>
        <w:rPr>
          <w:rFonts w:ascii="Arial" w:hAnsi="Arial" w:cs="Arial"/>
          <w:b/>
          <w:sz w:val="18"/>
          <w:szCs w:val="18"/>
        </w:rPr>
        <w:br/>
      </w:r>
      <w:r w:rsidRPr="007A7C07">
        <w:rPr>
          <w:rFonts w:ascii="Arial" w:hAnsi="Arial" w:cs="Arial"/>
          <w:b/>
          <w:sz w:val="18"/>
          <w:szCs w:val="18"/>
        </w:rPr>
        <w:t xml:space="preserve">IMPLEMENTATION QUESTION: </w:t>
      </w:r>
      <w:r w:rsidRPr="007B5D30">
        <w:rPr>
          <w:rFonts w:ascii="Arial" w:hAnsi="Arial" w:cs="Arial"/>
          <w:sz w:val="18"/>
          <w:szCs w:val="18"/>
        </w:rPr>
        <w:t>For patients who discontinue niraparib at their request without experiencing disease progression, and then experience disease progression, but are considered platinum sensitive and receive a third course of platinum chemotherapy and are in response, is there evidence whether they could be considered eligible for niraparib again?</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7B5D30" w:rsidRPr="00EB0EEF" w14:paraId="17D9EF4A" w14:textId="77777777" w:rsidTr="00051024">
        <w:tc>
          <w:tcPr>
            <w:tcW w:w="10346" w:type="dxa"/>
          </w:tcPr>
          <w:p w14:paraId="5C9875FE" w14:textId="77777777" w:rsidR="007B5D30" w:rsidRPr="00EB0EEF" w:rsidRDefault="007B5D30" w:rsidP="00051024">
            <w:pPr>
              <w:pStyle w:val="BodyText"/>
              <w:spacing w:after="240" w:line="276" w:lineRule="auto"/>
              <w:rPr>
                <w:rFonts w:ascii="Arial" w:hAnsi="Arial" w:cs="Arial"/>
                <w:sz w:val="18"/>
                <w:szCs w:val="18"/>
              </w:rPr>
            </w:pPr>
          </w:p>
          <w:p w14:paraId="5FF36797" w14:textId="77777777" w:rsidR="007B5D30" w:rsidRPr="00EB0EEF" w:rsidRDefault="007B5D30" w:rsidP="00051024">
            <w:pPr>
              <w:pStyle w:val="BodyText"/>
              <w:spacing w:after="240" w:line="276" w:lineRule="auto"/>
              <w:rPr>
                <w:rFonts w:ascii="Arial" w:hAnsi="Arial" w:cs="Arial"/>
                <w:sz w:val="18"/>
                <w:szCs w:val="18"/>
              </w:rPr>
            </w:pPr>
          </w:p>
        </w:tc>
      </w:tr>
    </w:tbl>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7B5D30"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lastRenderedPageBreak/>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4FBCB432" w:rsidR="00642187"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7B5D30">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0FF4361F" w14:textId="02074329" w:rsidR="007B5D30" w:rsidRPr="007A7C07" w:rsidRDefault="007B5D30" w:rsidP="007B5D30">
      <w:pPr>
        <w:pStyle w:val="pCODR11Bullet1stLevel"/>
        <w:numPr>
          <w:ilvl w:val="0"/>
          <w:numId w:val="0"/>
        </w:numPr>
        <w:spacing w:after="60" w:line="276" w:lineRule="auto"/>
        <w:ind w:left="1260" w:right="864"/>
        <w:rPr>
          <w:rFonts w:ascii="Arial" w:hAnsi="Arial" w:cs="Arial"/>
          <w:b/>
          <w:sz w:val="18"/>
        </w:rPr>
      </w:pPr>
      <w:bookmarkStart w:id="6" w:name="_Toc439923601"/>
      <w:r>
        <w:rPr>
          <w:rFonts w:ascii="Arial" w:hAnsi="Arial" w:cs="Arial"/>
          <w:b/>
          <w:sz w:val="18"/>
        </w:rPr>
        <w:br/>
        <w:t>I</w:t>
      </w:r>
      <w:r w:rsidRPr="007A7C07">
        <w:rPr>
          <w:rFonts w:ascii="Arial" w:hAnsi="Arial" w:cs="Arial"/>
          <w:b/>
          <w:sz w:val="18"/>
        </w:rPr>
        <w:t xml:space="preserve">MPLEMENTATION QUESTIONS: </w:t>
      </w:r>
    </w:p>
    <w:p w14:paraId="26CD03DA" w14:textId="4F8EDA94" w:rsidR="007B5D30" w:rsidRPr="007B5D30" w:rsidRDefault="007B5D30" w:rsidP="007B5D30">
      <w:pPr>
        <w:pStyle w:val="pCODR11Bullet1stLevel"/>
        <w:numPr>
          <w:ilvl w:val="1"/>
          <w:numId w:val="42"/>
        </w:numPr>
        <w:spacing w:after="60" w:line="276" w:lineRule="auto"/>
        <w:ind w:right="864"/>
        <w:rPr>
          <w:rFonts w:ascii="Arial" w:hAnsi="Arial" w:cs="Arial"/>
          <w:sz w:val="18"/>
        </w:rPr>
      </w:pPr>
      <w:r w:rsidRPr="007B5D30">
        <w:rPr>
          <w:rFonts w:ascii="Arial" w:hAnsi="Arial" w:cs="Arial"/>
          <w:sz w:val="18"/>
        </w:rPr>
        <w:t xml:space="preserve">Is there evidence to support clinical situations where niraparib is preferred to </w:t>
      </w:r>
      <w:proofErr w:type="spellStart"/>
      <w:r w:rsidRPr="007B5D30">
        <w:rPr>
          <w:rFonts w:ascii="Arial" w:hAnsi="Arial" w:cs="Arial"/>
          <w:sz w:val="18"/>
        </w:rPr>
        <w:t>olaparib</w:t>
      </w:r>
      <w:proofErr w:type="spellEnd"/>
      <w:r w:rsidRPr="007B5D30">
        <w:rPr>
          <w:rFonts w:ascii="Arial" w:hAnsi="Arial" w:cs="Arial"/>
          <w:sz w:val="18"/>
        </w:rPr>
        <w:t xml:space="preserve"> (e.g., for BRCA mutated patients)?</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7B5D30" w:rsidRPr="007B5D30" w14:paraId="1A03CF9A" w14:textId="77777777" w:rsidTr="00C46168">
        <w:tc>
          <w:tcPr>
            <w:tcW w:w="9940" w:type="dxa"/>
          </w:tcPr>
          <w:p w14:paraId="4BFD42C5" w14:textId="77777777" w:rsidR="007B5D30" w:rsidRPr="007B5D30" w:rsidRDefault="007B5D30" w:rsidP="00C46168">
            <w:pPr>
              <w:rPr>
                <w:rFonts w:ascii="Arial" w:hAnsi="Arial" w:cs="Arial"/>
                <w:sz w:val="22"/>
                <w:szCs w:val="22"/>
              </w:rPr>
            </w:pPr>
          </w:p>
          <w:p w14:paraId="4DF75FB3" w14:textId="77777777" w:rsidR="007B5D30" w:rsidRPr="007B5D30" w:rsidRDefault="007B5D30" w:rsidP="00C46168">
            <w:pPr>
              <w:rPr>
                <w:rFonts w:ascii="Arial" w:hAnsi="Arial" w:cs="Arial"/>
                <w:sz w:val="22"/>
                <w:szCs w:val="22"/>
              </w:rPr>
            </w:pPr>
          </w:p>
          <w:p w14:paraId="261F3197" w14:textId="77777777" w:rsidR="007B5D30" w:rsidRPr="007B5D30" w:rsidRDefault="007B5D30" w:rsidP="00C46168">
            <w:pPr>
              <w:rPr>
                <w:rFonts w:ascii="Arial" w:hAnsi="Arial" w:cs="Arial"/>
                <w:sz w:val="22"/>
                <w:szCs w:val="22"/>
              </w:rPr>
            </w:pPr>
          </w:p>
          <w:p w14:paraId="15BE4659" w14:textId="77777777" w:rsidR="007B5D30" w:rsidRPr="007B5D30" w:rsidRDefault="007B5D30" w:rsidP="00C46168">
            <w:pPr>
              <w:rPr>
                <w:rFonts w:ascii="Arial" w:hAnsi="Arial" w:cs="Arial"/>
                <w:sz w:val="22"/>
                <w:szCs w:val="22"/>
              </w:rPr>
            </w:pPr>
          </w:p>
          <w:p w14:paraId="3F9D8BAA" w14:textId="77777777" w:rsidR="007B5D30" w:rsidRPr="007B5D30" w:rsidRDefault="007B5D30" w:rsidP="00C46168">
            <w:pPr>
              <w:rPr>
                <w:rFonts w:ascii="Arial" w:hAnsi="Arial" w:cs="Arial"/>
                <w:sz w:val="22"/>
                <w:szCs w:val="22"/>
              </w:rPr>
            </w:pPr>
          </w:p>
        </w:tc>
      </w:tr>
    </w:tbl>
    <w:p w14:paraId="538CC5BC" w14:textId="77777777" w:rsidR="007B5D30" w:rsidRPr="007B5D30" w:rsidRDefault="007B5D30" w:rsidP="007B5D30">
      <w:pPr>
        <w:pStyle w:val="pCODR11Bullet1stLevel"/>
        <w:numPr>
          <w:ilvl w:val="1"/>
          <w:numId w:val="42"/>
        </w:numPr>
        <w:spacing w:before="240" w:after="60" w:line="276" w:lineRule="auto"/>
        <w:ind w:right="864"/>
        <w:rPr>
          <w:rFonts w:ascii="Arial" w:hAnsi="Arial" w:cs="Arial"/>
          <w:sz w:val="18"/>
        </w:rPr>
      </w:pPr>
      <w:r w:rsidRPr="007B5D30">
        <w:rPr>
          <w:rFonts w:ascii="Arial" w:hAnsi="Arial" w:cs="Arial"/>
          <w:sz w:val="18"/>
        </w:rPr>
        <w:t xml:space="preserve">Is there evidence to support sequencing of </w:t>
      </w:r>
      <w:proofErr w:type="spellStart"/>
      <w:r w:rsidRPr="007B5D30">
        <w:rPr>
          <w:rFonts w:ascii="Arial" w:hAnsi="Arial" w:cs="Arial"/>
          <w:sz w:val="18"/>
        </w:rPr>
        <w:t>olaparib</w:t>
      </w:r>
      <w:proofErr w:type="spellEnd"/>
      <w:r w:rsidRPr="007B5D30">
        <w:rPr>
          <w:rFonts w:ascii="Arial" w:hAnsi="Arial" w:cs="Arial"/>
          <w:sz w:val="18"/>
        </w:rPr>
        <w:t xml:space="preserve"> and </w:t>
      </w:r>
      <w:proofErr w:type="spellStart"/>
      <w:r w:rsidRPr="007B5D30">
        <w:rPr>
          <w:rFonts w:ascii="Arial" w:hAnsi="Arial" w:cs="Arial"/>
          <w:sz w:val="18"/>
        </w:rPr>
        <w:t>nirparib</w:t>
      </w:r>
      <w:proofErr w:type="spellEnd"/>
      <w:r w:rsidRPr="007B5D30">
        <w:rPr>
          <w:rFonts w:ascii="Arial" w:hAnsi="Arial" w:cs="Arial"/>
          <w:sz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7B5D30" w:rsidRPr="007B5D30" w14:paraId="6E48803C" w14:textId="77777777" w:rsidTr="001A513D">
        <w:tc>
          <w:tcPr>
            <w:tcW w:w="9940" w:type="dxa"/>
          </w:tcPr>
          <w:p w14:paraId="5A8A91AA" w14:textId="77777777" w:rsidR="007B5D30" w:rsidRPr="007B5D30" w:rsidRDefault="007B5D30" w:rsidP="001A513D">
            <w:pPr>
              <w:rPr>
                <w:rFonts w:ascii="Arial" w:hAnsi="Arial" w:cs="Arial"/>
                <w:sz w:val="22"/>
                <w:szCs w:val="22"/>
              </w:rPr>
            </w:pPr>
          </w:p>
          <w:p w14:paraId="110314D5" w14:textId="77777777" w:rsidR="007B5D30" w:rsidRPr="007B5D30" w:rsidRDefault="007B5D30" w:rsidP="001A513D">
            <w:pPr>
              <w:rPr>
                <w:rFonts w:ascii="Arial" w:hAnsi="Arial" w:cs="Arial"/>
                <w:sz w:val="22"/>
                <w:szCs w:val="22"/>
              </w:rPr>
            </w:pPr>
          </w:p>
          <w:p w14:paraId="3E42DC56" w14:textId="77777777" w:rsidR="007B5D30" w:rsidRPr="007B5D30" w:rsidRDefault="007B5D30" w:rsidP="001A513D">
            <w:pPr>
              <w:rPr>
                <w:rFonts w:ascii="Arial" w:hAnsi="Arial" w:cs="Arial"/>
                <w:sz w:val="22"/>
                <w:szCs w:val="22"/>
              </w:rPr>
            </w:pPr>
          </w:p>
          <w:p w14:paraId="260BA87C" w14:textId="77777777" w:rsidR="007B5D30" w:rsidRPr="007B5D30" w:rsidRDefault="007B5D30" w:rsidP="001A513D">
            <w:pPr>
              <w:rPr>
                <w:rFonts w:ascii="Arial" w:hAnsi="Arial" w:cs="Arial"/>
                <w:sz w:val="22"/>
                <w:szCs w:val="22"/>
              </w:rPr>
            </w:pPr>
          </w:p>
          <w:p w14:paraId="284B5D56" w14:textId="77777777" w:rsidR="007B5D30" w:rsidRPr="007B5D30" w:rsidRDefault="007B5D30" w:rsidP="001A513D">
            <w:pPr>
              <w:rPr>
                <w:rFonts w:ascii="Arial" w:hAnsi="Arial" w:cs="Arial"/>
                <w:sz w:val="22"/>
                <w:szCs w:val="22"/>
              </w:rPr>
            </w:pPr>
          </w:p>
        </w:tc>
      </w:tr>
    </w:tbl>
    <w:p w14:paraId="0CD34E5B" w14:textId="77777777" w:rsidR="007B5D30" w:rsidRPr="007B5D30" w:rsidRDefault="007B5D30" w:rsidP="007B5D30">
      <w:pPr>
        <w:pStyle w:val="pCODR11Bullet1stLevel"/>
        <w:numPr>
          <w:ilvl w:val="1"/>
          <w:numId w:val="42"/>
        </w:numPr>
        <w:spacing w:before="240" w:after="60" w:line="276" w:lineRule="auto"/>
        <w:ind w:right="864"/>
        <w:rPr>
          <w:rFonts w:ascii="Arial" w:hAnsi="Arial" w:cs="Arial"/>
          <w:sz w:val="18"/>
        </w:rPr>
      </w:pPr>
      <w:r w:rsidRPr="007B5D30">
        <w:rPr>
          <w:rFonts w:ascii="Arial" w:hAnsi="Arial" w:cs="Arial"/>
          <w:sz w:val="18"/>
        </w:rPr>
        <w:t xml:space="preserve">Is there evidence to inform whether patients who are currently receiving </w:t>
      </w:r>
      <w:proofErr w:type="spellStart"/>
      <w:r w:rsidRPr="007B5D30">
        <w:rPr>
          <w:rFonts w:ascii="Arial" w:hAnsi="Arial" w:cs="Arial"/>
          <w:sz w:val="18"/>
        </w:rPr>
        <w:t>olaparib</w:t>
      </w:r>
      <w:proofErr w:type="spellEnd"/>
      <w:r w:rsidRPr="007B5D30">
        <w:rPr>
          <w:rFonts w:ascii="Arial" w:hAnsi="Arial" w:cs="Arial"/>
          <w:sz w:val="18"/>
        </w:rPr>
        <w:t xml:space="preserve"> (for </w:t>
      </w:r>
      <w:proofErr w:type="spellStart"/>
      <w:r w:rsidRPr="007B5D30">
        <w:rPr>
          <w:rFonts w:ascii="Arial" w:hAnsi="Arial" w:cs="Arial"/>
          <w:sz w:val="18"/>
        </w:rPr>
        <w:t>BRCAmut</w:t>
      </w:r>
      <w:proofErr w:type="spellEnd"/>
      <w:r w:rsidRPr="007B5D30">
        <w:rPr>
          <w:rFonts w:ascii="Arial" w:hAnsi="Arial" w:cs="Arial"/>
          <w:sz w:val="18"/>
        </w:rPr>
        <w:t xml:space="preserve"> disease) with intolerance could be considered for a treatment switch to niraparib?</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7B5D30" w:rsidRPr="007B5D30" w14:paraId="7D4874E0" w14:textId="77777777" w:rsidTr="001762A9">
        <w:tc>
          <w:tcPr>
            <w:tcW w:w="9940" w:type="dxa"/>
          </w:tcPr>
          <w:p w14:paraId="2171A3B2" w14:textId="77777777" w:rsidR="007B5D30" w:rsidRPr="007B5D30" w:rsidRDefault="007B5D30" w:rsidP="001762A9">
            <w:pPr>
              <w:rPr>
                <w:rFonts w:ascii="Arial" w:hAnsi="Arial" w:cs="Arial"/>
                <w:sz w:val="22"/>
                <w:szCs w:val="22"/>
              </w:rPr>
            </w:pPr>
          </w:p>
          <w:p w14:paraId="1FA1A4B4" w14:textId="77777777" w:rsidR="007B5D30" w:rsidRPr="007B5D30" w:rsidRDefault="007B5D30" w:rsidP="001762A9">
            <w:pPr>
              <w:rPr>
                <w:rFonts w:ascii="Arial" w:hAnsi="Arial" w:cs="Arial"/>
                <w:sz w:val="22"/>
                <w:szCs w:val="22"/>
              </w:rPr>
            </w:pPr>
          </w:p>
          <w:p w14:paraId="17385A58" w14:textId="77777777" w:rsidR="007B5D30" w:rsidRPr="007B5D30" w:rsidRDefault="007B5D30" w:rsidP="001762A9">
            <w:pPr>
              <w:rPr>
                <w:rFonts w:ascii="Arial" w:hAnsi="Arial" w:cs="Arial"/>
                <w:sz w:val="22"/>
                <w:szCs w:val="22"/>
              </w:rPr>
            </w:pPr>
          </w:p>
          <w:p w14:paraId="67EEAA59" w14:textId="77777777" w:rsidR="007B5D30" w:rsidRPr="007B5D30" w:rsidRDefault="007B5D30" w:rsidP="001762A9">
            <w:pPr>
              <w:rPr>
                <w:rFonts w:ascii="Arial" w:hAnsi="Arial" w:cs="Arial"/>
                <w:sz w:val="22"/>
                <w:szCs w:val="22"/>
              </w:rPr>
            </w:pPr>
          </w:p>
          <w:p w14:paraId="4A0A0401" w14:textId="77777777" w:rsidR="007B5D30" w:rsidRPr="007B5D30" w:rsidRDefault="007B5D30" w:rsidP="001762A9">
            <w:pPr>
              <w:rPr>
                <w:rFonts w:ascii="Arial" w:hAnsi="Arial" w:cs="Arial"/>
                <w:sz w:val="22"/>
                <w:szCs w:val="22"/>
              </w:rPr>
            </w:pPr>
          </w:p>
        </w:tc>
      </w:tr>
    </w:tbl>
    <w:p w14:paraId="20E56492" w14:textId="77777777" w:rsidR="007B5D30" w:rsidRPr="007B5D30" w:rsidRDefault="007B5D30" w:rsidP="007B5D30">
      <w:pPr>
        <w:pStyle w:val="pCODR11Bullet1stLevel"/>
        <w:numPr>
          <w:ilvl w:val="1"/>
          <w:numId w:val="42"/>
        </w:numPr>
        <w:spacing w:before="240" w:after="60" w:line="276" w:lineRule="auto"/>
        <w:ind w:right="864"/>
        <w:rPr>
          <w:rFonts w:ascii="Arial" w:hAnsi="Arial" w:cs="Arial"/>
          <w:b/>
          <w:sz w:val="18"/>
        </w:rPr>
      </w:pPr>
      <w:r w:rsidRPr="007B5D30">
        <w:rPr>
          <w:rFonts w:ascii="Arial" w:hAnsi="Arial" w:cs="Arial"/>
          <w:sz w:val="18"/>
        </w:rPr>
        <w:t xml:space="preserve">Is there evidence to confirm that if patients receive </w:t>
      </w:r>
      <w:proofErr w:type="spellStart"/>
      <w:r w:rsidRPr="007B5D30">
        <w:rPr>
          <w:rFonts w:ascii="Arial" w:hAnsi="Arial" w:cs="Arial"/>
          <w:sz w:val="18"/>
        </w:rPr>
        <w:t>olaparib</w:t>
      </w:r>
      <w:proofErr w:type="spellEnd"/>
      <w:r w:rsidRPr="007B5D30">
        <w:rPr>
          <w:rFonts w:ascii="Arial" w:hAnsi="Arial" w:cs="Arial"/>
          <w:sz w:val="18"/>
        </w:rPr>
        <w:t xml:space="preserve"> after 1st line treatment (BRCA positive patients only) for 2 years, would treatment of platinum-based chemotherapy followed by another PARP inhibitor be recommended?</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7B5D30" w:rsidRPr="007B5D30" w14:paraId="109011CB" w14:textId="77777777" w:rsidTr="00114F4D">
        <w:tc>
          <w:tcPr>
            <w:tcW w:w="9940" w:type="dxa"/>
          </w:tcPr>
          <w:p w14:paraId="1B500A9C" w14:textId="77777777" w:rsidR="007B5D30" w:rsidRPr="007B5D30" w:rsidRDefault="007B5D30" w:rsidP="00114F4D">
            <w:pPr>
              <w:rPr>
                <w:rFonts w:ascii="Arial" w:hAnsi="Arial" w:cs="Arial"/>
                <w:sz w:val="22"/>
                <w:szCs w:val="22"/>
              </w:rPr>
            </w:pPr>
          </w:p>
          <w:p w14:paraId="68B3C6C8" w14:textId="77777777" w:rsidR="007B5D30" w:rsidRPr="007B5D30" w:rsidRDefault="007B5D30" w:rsidP="00114F4D">
            <w:pPr>
              <w:rPr>
                <w:rFonts w:ascii="Arial" w:hAnsi="Arial" w:cs="Arial"/>
                <w:sz w:val="22"/>
                <w:szCs w:val="22"/>
              </w:rPr>
            </w:pPr>
          </w:p>
          <w:p w14:paraId="53DDC4C4" w14:textId="77777777" w:rsidR="007B5D30" w:rsidRPr="007B5D30" w:rsidRDefault="007B5D30" w:rsidP="00114F4D">
            <w:pPr>
              <w:rPr>
                <w:rFonts w:ascii="Arial" w:hAnsi="Arial" w:cs="Arial"/>
                <w:sz w:val="22"/>
                <w:szCs w:val="22"/>
              </w:rPr>
            </w:pPr>
          </w:p>
          <w:p w14:paraId="7DD2726F" w14:textId="77777777" w:rsidR="007B5D30" w:rsidRPr="007B5D30" w:rsidRDefault="007B5D30" w:rsidP="00114F4D">
            <w:pPr>
              <w:rPr>
                <w:rFonts w:ascii="Arial" w:hAnsi="Arial" w:cs="Arial"/>
                <w:sz w:val="22"/>
                <w:szCs w:val="22"/>
              </w:rPr>
            </w:pPr>
          </w:p>
          <w:p w14:paraId="0D7D075C" w14:textId="77777777" w:rsidR="007B5D30" w:rsidRPr="007B5D30" w:rsidRDefault="007B5D30" w:rsidP="00114F4D">
            <w:pPr>
              <w:rPr>
                <w:rFonts w:ascii="Arial" w:hAnsi="Arial" w:cs="Arial"/>
                <w:sz w:val="22"/>
                <w:szCs w:val="22"/>
              </w:rPr>
            </w:pPr>
          </w:p>
        </w:tc>
      </w:tr>
    </w:tbl>
    <w:p w14:paraId="4A9E0032" w14:textId="7B9C80B7"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lastRenderedPageBreak/>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68A2B882" w14:textId="0A7B1B7E" w:rsidR="00BF2162" w:rsidRPr="007B5D30" w:rsidRDefault="006B2DFA" w:rsidP="007B5D30">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7B5D30">
        <w:tc>
          <w:tcPr>
            <w:tcW w:w="9940"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4ED46A4D" w14:textId="2FDA60F4" w:rsidR="007B5D30" w:rsidRPr="003C358B" w:rsidRDefault="007B5D30" w:rsidP="007B5D30">
      <w:pPr>
        <w:pStyle w:val="pCODR11Bullet1stLevel"/>
        <w:numPr>
          <w:ilvl w:val="0"/>
          <w:numId w:val="0"/>
        </w:numPr>
        <w:spacing w:after="60" w:line="276" w:lineRule="auto"/>
        <w:ind w:left="1260" w:right="864"/>
        <w:rPr>
          <w:rFonts w:ascii="Arial" w:hAnsi="Arial" w:cs="Arial"/>
          <w:b/>
          <w:sz w:val="18"/>
        </w:rPr>
      </w:pPr>
      <w:bookmarkStart w:id="7" w:name="_Toc439923602"/>
      <w:r>
        <w:rPr>
          <w:rFonts w:ascii="Arial" w:hAnsi="Arial" w:cs="Arial"/>
          <w:b/>
          <w:sz w:val="18"/>
        </w:rPr>
        <w:br/>
      </w:r>
      <w:r w:rsidRPr="002939C6">
        <w:rPr>
          <w:rFonts w:ascii="Arial" w:hAnsi="Arial" w:cs="Arial"/>
          <w:b/>
          <w:sz w:val="18"/>
        </w:rPr>
        <w:t>IMPLEMENTATION</w:t>
      </w:r>
      <w:r w:rsidRPr="003C358B">
        <w:rPr>
          <w:rFonts w:ascii="Arial" w:hAnsi="Arial" w:cs="Arial"/>
          <w:b/>
          <w:sz w:val="18"/>
        </w:rPr>
        <w:t xml:space="preserve"> QUESTION:</w:t>
      </w:r>
      <w:r>
        <w:rPr>
          <w:rFonts w:ascii="Arial" w:hAnsi="Arial" w:cs="Arial"/>
          <w:b/>
          <w:sz w:val="18"/>
        </w:rPr>
        <w:t xml:space="preserve"> </w:t>
      </w:r>
      <w:r w:rsidRPr="007B5D30">
        <w:rPr>
          <w:rFonts w:ascii="Arial" w:hAnsi="Arial" w:cs="Arial"/>
          <w:sz w:val="18"/>
        </w:rPr>
        <w:t>Is BRCA and/or HRD mutation status required to determine eligibility of niraparib?</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7B5D30" w14:paraId="05BCCE1D" w14:textId="77777777" w:rsidTr="00326DCC">
        <w:tc>
          <w:tcPr>
            <w:tcW w:w="10166" w:type="dxa"/>
          </w:tcPr>
          <w:p w14:paraId="45FEDE2B" w14:textId="77777777" w:rsidR="007B5D30" w:rsidRDefault="007B5D30" w:rsidP="00326DCC">
            <w:pPr>
              <w:rPr>
                <w:rFonts w:ascii="Arial" w:hAnsi="Arial" w:cs="Arial"/>
                <w:sz w:val="22"/>
                <w:szCs w:val="22"/>
              </w:rPr>
            </w:pPr>
          </w:p>
          <w:p w14:paraId="5D9DFB6D" w14:textId="77777777" w:rsidR="007B5D30" w:rsidRDefault="007B5D30" w:rsidP="00326DCC">
            <w:pPr>
              <w:rPr>
                <w:rFonts w:ascii="Arial" w:hAnsi="Arial" w:cs="Arial"/>
                <w:sz w:val="22"/>
                <w:szCs w:val="22"/>
              </w:rPr>
            </w:pPr>
          </w:p>
          <w:p w14:paraId="10C35C58" w14:textId="77777777" w:rsidR="007B5D30" w:rsidRDefault="007B5D30" w:rsidP="00326DCC">
            <w:pPr>
              <w:rPr>
                <w:rFonts w:ascii="Arial" w:hAnsi="Arial" w:cs="Arial"/>
                <w:sz w:val="22"/>
                <w:szCs w:val="22"/>
              </w:rPr>
            </w:pPr>
          </w:p>
          <w:p w14:paraId="31BA43FB" w14:textId="77777777" w:rsidR="007B5D30" w:rsidRDefault="007B5D30" w:rsidP="00326DCC">
            <w:pPr>
              <w:rPr>
                <w:rFonts w:ascii="Arial" w:hAnsi="Arial" w:cs="Arial"/>
                <w:sz w:val="22"/>
                <w:szCs w:val="22"/>
              </w:rPr>
            </w:pPr>
          </w:p>
          <w:p w14:paraId="51CECDDF" w14:textId="77777777" w:rsidR="007B5D30" w:rsidRDefault="007B5D30" w:rsidP="00326DCC">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Pr="003C358B" w:rsidRDefault="00364061" w:rsidP="000028EA">
      <w:pPr>
        <w:pStyle w:val="pCODR1Body"/>
        <w:spacing w:line="276" w:lineRule="auto"/>
        <w:ind w:left="360"/>
        <w:rPr>
          <w:rFonts w:ascii="Arial" w:hAnsi="Arial" w:cs="Arial"/>
          <w:b/>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proofErr w:type="gramStart"/>
      <w:r w:rsidR="003B1E52" w:rsidRPr="00EB0EEF">
        <w:rPr>
          <w:rFonts w:ascii="Arial" w:hAnsi="Arial" w:cs="Arial"/>
          <w:sz w:val="18"/>
        </w:rPr>
        <w:t>if and when</w:t>
      </w:r>
      <w:proofErr w:type="gramEnd"/>
      <w:r w:rsidR="003B1E52" w:rsidRPr="00EB0EEF">
        <w:rPr>
          <w:rFonts w:ascii="Arial" w:hAnsi="Arial" w:cs="Arial"/>
          <w:sz w:val="18"/>
        </w:rPr>
        <w:t xml:space="preserve">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00F966F4" w14:textId="10A7B477" w:rsidR="00B44453" w:rsidRPr="003C358B" w:rsidRDefault="003C358B" w:rsidP="00650D83">
      <w:pPr>
        <w:pStyle w:val="Heading2"/>
        <w:tabs>
          <w:tab w:val="clear" w:pos="0"/>
          <w:tab w:val="clear" w:pos="720"/>
        </w:tabs>
        <w:spacing w:before="240" w:after="120"/>
        <w:ind w:left="814" w:hanging="454"/>
        <w:rPr>
          <w:rFonts w:ascii="Arial" w:hAnsi="Arial" w:cs="Arial"/>
          <w:sz w:val="18"/>
        </w:rPr>
      </w:pPr>
      <w:r w:rsidRPr="003C358B">
        <w:rPr>
          <w:rFonts w:ascii="Arial" w:hAnsi="Arial" w:cs="Arial"/>
          <w:sz w:val="18"/>
        </w:rPr>
        <w:t xml:space="preserve">4.1 </w:t>
      </w:r>
      <w:r w:rsidR="00650D83">
        <w:rPr>
          <w:rFonts w:ascii="Arial" w:hAnsi="Arial" w:cs="Arial"/>
          <w:sz w:val="18"/>
        </w:rPr>
        <w:tab/>
      </w:r>
      <w:r w:rsidRPr="003C358B">
        <w:rPr>
          <w:rFonts w:ascii="Arial" w:hAnsi="Arial" w:cs="Arial"/>
          <w:spacing w:val="0"/>
          <w:sz w:val="18"/>
        </w:rPr>
        <w:t>Starting</w:t>
      </w:r>
      <w:r w:rsidRPr="003C358B">
        <w:rPr>
          <w:rFonts w:ascii="Arial" w:hAnsi="Arial" w:cs="Arial"/>
          <w:sz w:val="18"/>
        </w:rPr>
        <w:t xml:space="preserve"> Dose</w:t>
      </w:r>
    </w:p>
    <w:p w14:paraId="7E3650A3" w14:textId="4C5C5E25" w:rsidR="003C358B" w:rsidRPr="003C358B" w:rsidRDefault="003C358B" w:rsidP="003C358B">
      <w:pPr>
        <w:pStyle w:val="pCODR1Body"/>
        <w:numPr>
          <w:ilvl w:val="0"/>
          <w:numId w:val="48"/>
        </w:numPr>
        <w:rPr>
          <w:rFonts w:ascii="Arial" w:hAnsi="Arial" w:cs="Arial"/>
          <w:sz w:val="18"/>
        </w:rPr>
      </w:pPr>
      <w:r w:rsidRPr="003C358B">
        <w:rPr>
          <w:rFonts w:ascii="Arial" w:hAnsi="Arial" w:cs="Arial"/>
          <w:sz w:val="18"/>
        </w:rPr>
        <w:t>Is there evidence to support the recommended starting dose of niraparib for patients with low body weight (e.g., &lt;58 kg)?</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0028EA" w14:paraId="5247003C" w14:textId="77777777" w:rsidTr="003C358B">
        <w:tc>
          <w:tcPr>
            <w:tcW w:w="10120" w:type="dxa"/>
          </w:tcPr>
          <w:p w14:paraId="1A9DFF71" w14:textId="77777777" w:rsidR="000028EA" w:rsidRDefault="000028EA" w:rsidP="00FB5292">
            <w:pPr>
              <w:pStyle w:val="pCODR01AppendixHeader"/>
              <w:rPr>
                <w:rFonts w:ascii="Arial" w:hAnsi="Arial" w:cs="Arial"/>
                <w:spacing w:val="0"/>
              </w:rPr>
            </w:pPr>
            <w:bookmarkStart w:id="8" w:name="_Appendix_A:_pCODR"/>
            <w:bookmarkStart w:id="9" w:name="_Toc439923603"/>
            <w:bookmarkEnd w:id="8"/>
          </w:p>
          <w:p w14:paraId="263B76BD" w14:textId="77777777" w:rsidR="000028EA" w:rsidRDefault="000028EA" w:rsidP="00FB5292">
            <w:pPr>
              <w:pStyle w:val="pCODR01AppendixHeader"/>
              <w:rPr>
                <w:rFonts w:ascii="Arial" w:hAnsi="Arial" w:cs="Arial"/>
                <w:spacing w:val="0"/>
              </w:rPr>
            </w:pPr>
          </w:p>
        </w:tc>
      </w:tr>
    </w:tbl>
    <w:p w14:paraId="751FAA90" w14:textId="11ED7E37" w:rsidR="003C358B" w:rsidRPr="003C358B" w:rsidRDefault="003C358B" w:rsidP="003C358B">
      <w:pPr>
        <w:pStyle w:val="Heading2"/>
        <w:tabs>
          <w:tab w:val="clear" w:pos="0"/>
          <w:tab w:val="clear" w:pos="720"/>
        </w:tabs>
        <w:spacing w:before="240" w:after="120"/>
        <w:ind w:left="814" w:hanging="454"/>
        <w:rPr>
          <w:rFonts w:ascii="Arial" w:hAnsi="Arial" w:cs="Arial"/>
          <w:sz w:val="18"/>
        </w:rPr>
      </w:pPr>
      <w:r w:rsidRPr="003C358B">
        <w:rPr>
          <w:rFonts w:ascii="Arial" w:hAnsi="Arial" w:cs="Arial"/>
          <w:sz w:val="18"/>
        </w:rPr>
        <w:t>4.</w:t>
      </w:r>
      <w:r w:rsidR="002939C6">
        <w:rPr>
          <w:rFonts w:ascii="Arial" w:hAnsi="Arial" w:cs="Arial"/>
          <w:sz w:val="18"/>
        </w:rPr>
        <w:t>2</w:t>
      </w:r>
      <w:r w:rsidRPr="003C358B">
        <w:rPr>
          <w:rFonts w:ascii="Arial" w:hAnsi="Arial" w:cs="Arial"/>
          <w:sz w:val="18"/>
        </w:rPr>
        <w:t xml:space="preserve"> </w:t>
      </w:r>
      <w:r w:rsidR="00650D83">
        <w:rPr>
          <w:rFonts w:ascii="Arial" w:hAnsi="Arial" w:cs="Arial"/>
          <w:sz w:val="18"/>
        </w:rPr>
        <w:tab/>
      </w:r>
      <w:r>
        <w:rPr>
          <w:rFonts w:ascii="Arial" w:hAnsi="Arial" w:cs="Arial"/>
          <w:spacing w:val="0"/>
          <w:sz w:val="18"/>
        </w:rPr>
        <w:t>Patients on Observation</w:t>
      </w:r>
    </w:p>
    <w:p w14:paraId="44D08F86" w14:textId="77777777" w:rsidR="003C358B" w:rsidRPr="003C358B" w:rsidRDefault="003C358B" w:rsidP="003C358B">
      <w:pPr>
        <w:pStyle w:val="ListParagraph"/>
        <w:numPr>
          <w:ilvl w:val="0"/>
          <w:numId w:val="48"/>
        </w:numPr>
        <w:rPr>
          <w:rFonts w:ascii="Arial" w:hAnsi="Arial" w:cs="Arial"/>
          <w:sz w:val="18"/>
        </w:rPr>
      </w:pPr>
      <w:r w:rsidRPr="003C358B">
        <w:rPr>
          <w:rFonts w:ascii="Arial" w:hAnsi="Arial" w:cs="Arial"/>
          <w:sz w:val="18"/>
        </w:rPr>
        <w:t>Is there evidence for non-</w:t>
      </w:r>
      <w:proofErr w:type="spellStart"/>
      <w:r w:rsidRPr="003C358B">
        <w:rPr>
          <w:rFonts w:ascii="Arial" w:hAnsi="Arial" w:cs="Arial"/>
          <w:sz w:val="18"/>
        </w:rPr>
        <w:t>BRCAmut</w:t>
      </w:r>
      <w:proofErr w:type="spellEnd"/>
      <w:r w:rsidRPr="003C358B">
        <w:rPr>
          <w:rFonts w:ascii="Arial" w:hAnsi="Arial" w:cs="Arial"/>
          <w:sz w:val="18"/>
        </w:rPr>
        <w:t xml:space="preserve"> patients that are currently on observation, what is the appropriate time frame to initiate treatment with niraparib?</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3C358B" w14:paraId="22126C9B" w14:textId="77777777" w:rsidTr="00297176">
        <w:tc>
          <w:tcPr>
            <w:tcW w:w="10346" w:type="dxa"/>
          </w:tcPr>
          <w:p w14:paraId="45EFAD26" w14:textId="77777777" w:rsidR="003C358B" w:rsidRDefault="003C358B" w:rsidP="00297176">
            <w:pPr>
              <w:pStyle w:val="pCODR01AppendixHeader"/>
              <w:rPr>
                <w:rFonts w:ascii="Arial" w:hAnsi="Arial" w:cs="Arial"/>
                <w:spacing w:val="0"/>
              </w:rPr>
            </w:pPr>
          </w:p>
          <w:p w14:paraId="16D26FA9" w14:textId="77777777" w:rsidR="003C358B" w:rsidRDefault="003C358B" w:rsidP="00297176">
            <w:pPr>
              <w:pStyle w:val="pCODR01AppendixHeader"/>
              <w:rPr>
                <w:rFonts w:ascii="Arial" w:hAnsi="Arial" w:cs="Arial"/>
                <w:spacing w:val="0"/>
              </w:rPr>
            </w:pPr>
          </w:p>
        </w:tc>
      </w:tr>
    </w:tbl>
    <w:p w14:paraId="0AE0D783" w14:textId="77777777" w:rsidR="00D8302B" w:rsidRPr="00EB0EEF" w:rsidRDefault="00D8302B" w:rsidP="00FB5292">
      <w:pPr>
        <w:pStyle w:val="pCODR01AppendixHeader"/>
        <w:rPr>
          <w:rFonts w:ascii="Arial" w:hAnsi="Arial" w:cs="Arial"/>
          <w:spacing w:val="0"/>
        </w:rPr>
      </w:pPr>
      <w:bookmarkStart w:id="10" w:name="_GoBack"/>
      <w:bookmarkEnd w:id="10"/>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11"/>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78"/>
        <w:gridCol w:w="3418"/>
        <w:gridCol w:w="407"/>
        <w:gridCol w:w="3580"/>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35D7E493" w:rsidR="005A28E8" w:rsidRDefault="005A28E8">
      <w:pPr>
        <w:rPr>
          <w:rFonts w:ascii="Arial" w:hAnsi="Arial" w:cs="Arial"/>
          <w:sz w:val="18"/>
          <w:szCs w:val="18"/>
        </w:rPr>
      </w:pPr>
    </w:p>
    <w:p w14:paraId="36689AB8" w14:textId="7220C298" w:rsidR="00E00AD0" w:rsidRDefault="00E00AD0">
      <w:pPr>
        <w:rPr>
          <w:rFonts w:ascii="Arial" w:hAnsi="Arial" w:cs="Arial"/>
          <w:sz w:val="18"/>
          <w:szCs w:val="18"/>
        </w:rPr>
      </w:pPr>
      <w:r>
        <w:rPr>
          <w:rFonts w:ascii="Arial" w:hAnsi="Arial" w:cs="Arial"/>
          <w:sz w:val="18"/>
          <w:szCs w:val="18"/>
        </w:rPr>
        <w:br w:type="page"/>
      </w:r>
    </w:p>
    <w:p w14:paraId="3D90ECF3" w14:textId="311F8C5F" w:rsidR="00E00AD0" w:rsidRPr="00A61B76" w:rsidRDefault="00E00AD0" w:rsidP="00E00AD0">
      <w:pPr>
        <w:pStyle w:val="pCODR01AppendixHeader"/>
        <w:rPr>
          <w:rFonts w:ascii="Arial" w:hAnsi="Arial" w:cs="Arial"/>
          <w:color w:val="0067B9"/>
          <w:spacing w:val="0"/>
          <w:kern w:val="0"/>
          <w:sz w:val="24"/>
          <w:szCs w:val="28"/>
        </w:rPr>
      </w:pPr>
      <w:r w:rsidRPr="00A61B76">
        <w:rPr>
          <w:rFonts w:ascii="Arial" w:hAnsi="Arial" w:cs="Arial"/>
          <w:color w:val="0067B9"/>
          <w:spacing w:val="0"/>
          <w:kern w:val="0"/>
          <w:sz w:val="24"/>
          <w:szCs w:val="28"/>
        </w:rPr>
        <w:lastRenderedPageBreak/>
        <w:t xml:space="preserve">Appendix B: Provincial Funding of Treatments for </w:t>
      </w:r>
      <w:r w:rsidR="00CC69D4">
        <w:rPr>
          <w:rFonts w:ascii="Arial" w:hAnsi="Arial" w:cs="Arial"/>
          <w:color w:val="0067B9"/>
          <w:spacing w:val="0"/>
          <w:kern w:val="0"/>
          <w:sz w:val="24"/>
          <w:szCs w:val="28"/>
        </w:rPr>
        <w:t>S</w:t>
      </w:r>
      <w:r>
        <w:rPr>
          <w:rFonts w:ascii="Arial" w:hAnsi="Arial" w:cs="Arial"/>
          <w:color w:val="0067B9"/>
          <w:spacing w:val="0"/>
          <w:kern w:val="0"/>
          <w:sz w:val="24"/>
          <w:szCs w:val="28"/>
        </w:rPr>
        <w:t>econd</w:t>
      </w:r>
      <w:r w:rsidRPr="00A61B76">
        <w:rPr>
          <w:rFonts w:ascii="Arial" w:hAnsi="Arial" w:cs="Arial"/>
          <w:color w:val="0067B9"/>
          <w:spacing w:val="0"/>
          <w:kern w:val="0"/>
          <w:sz w:val="24"/>
          <w:szCs w:val="28"/>
        </w:rPr>
        <w:t>-</w:t>
      </w:r>
      <w:r w:rsidR="00CC69D4">
        <w:rPr>
          <w:rFonts w:ascii="Arial" w:hAnsi="Arial" w:cs="Arial"/>
          <w:color w:val="0067B9"/>
          <w:spacing w:val="0"/>
          <w:kern w:val="0"/>
          <w:sz w:val="24"/>
          <w:szCs w:val="28"/>
        </w:rPr>
        <w:t>L</w:t>
      </w:r>
      <w:r w:rsidRPr="00A61B76">
        <w:rPr>
          <w:rFonts w:ascii="Arial" w:hAnsi="Arial" w:cs="Arial"/>
          <w:color w:val="0067B9"/>
          <w:spacing w:val="0"/>
          <w:kern w:val="0"/>
          <w:sz w:val="24"/>
          <w:szCs w:val="28"/>
        </w:rPr>
        <w:t xml:space="preserve">ine </w:t>
      </w:r>
      <w:r w:rsidR="00CC69D4">
        <w:rPr>
          <w:rFonts w:ascii="Arial" w:hAnsi="Arial" w:cs="Arial"/>
          <w:color w:val="0067B9"/>
          <w:spacing w:val="0"/>
          <w:kern w:val="0"/>
          <w:sz w:val="24"/>
          <w:szCs w:val="28"/>
        </w:rPr>
        <w:t>OC M</w:t>
      </w:r>
      <w:r>
        <w:rPr>
          <w:rFonts w:ascii="Arial" w:hAnsi="Arial" w:cs="Arial"/>
          <w:color w:val="0067B9"/>
          <w:spacing w:val="0"/>
          <w:kern w:val="0"/>
          <w:sz w:val="24"/>
          <w:szCs w:val="28"/>
        </w:rPr>
        <w:t>aintenance</w:t>
      </w:r>
    </w:p>
    <w:p w14:paraId="7BDEED62" w14:textId="78E70BF0" w:rsidR="00E00AD0" w:rsidRPr="0019292C" w:rsidRDefault="00E00AD0" w:rsidP="00E00AD0">
      <w:pPr>
        <w:contextualSpacing/>
        <w:jc w:val="center"/>
        <w:rPr>
          <w:rFonts w:ascii="Arial" w:hAnsi="Arial" w:cs="Arial"/>
          <w:b/>
          <w:sz w:val="24"/>
          <w:szCs w:val="28"/>
        </w:rPr>
      </w:pPr>
      <w:r w:rsidRPr="0019292C">
        <w:rPr>
          <w:rFonts w:ascii="Arial" w:hAnsi="Arial" w:cs="Arial"/>
          <w:b/>
          <w:sz w:val="24"/>
          <w:szCs w:val="28"/>
        </w:rPr>
        <w:t xml:space="preserve">As of </w:t>
      </w:r>
      <w:r w:rsidR="009A1C10">
        <w:rPr>
          <w:rFonts w:ascii="Arial" w:hAnsi="Arial" w:cs="Arial"/>
          <w:b/>
          <w:sz w:val="24"/>
          <w:szCs w:val="28"/>
        </w:rPr>
        <w:t xml:space="preserve">October </w:t>
      </w:r>
      <w:r w:rsidR="007962FD">
        <w:rPr>
          <w:rFonts w:ascii="Arial" w:hAnsi="Arial" w:cs="Arial"/>
          <w:b/>
          <w:sz w:val="24"/>
          <w:szCs w:val="28"/>
        </w:rPr>
        <w:t>1</w:t>
      </w:r>
      <w:r w:rsidRPr="0019292C">
        <w:rPr>
          <w:rFonts w:ascii="Arial" w:hAnsi="Arial" w:cs="Arial"/>
          <w:b/>
          <w:sz w:val="24"/>
          <w:szCs w:val="28"/>
        </w:rPr>
        <w:t>, 2019</w:t>
      </w:r>
    </w:p>
    <w:p w14:paraId="3245B0E7" w14:textId="77777777" w:rsidR="00E00AD0" w:rsidRPr="00A61B76" w:rsidRDefault="00E00AD0" w:rsidP="00E00AD0">
      <w:pPr>
        <w:contextualSpacing/>
        <w:jc w:val="center"/>
        <w:rPr>
          <w:rFonts w:ascii="Arial" w:hAnsi="Arial" w:cs="Arial"/>
          <w:b/>
          <w:sz w:val="21"/>
          <w:szCs w:val="21"/>
        </w:rPr>
      </w:pPr>
    </w:p>
    <w:tbl>
      <w:tblPr>
        <w:tblW w:w="2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30"/>
        <w:gridCol w:w="1484"/>
      </w:tblGrid>
      <w:tr w:rsidR="00E00AD0" w:rsidRPr="00A61B76" w14:paraId="3A04C490" w14:textId="77777777" w:rsidTr="00E00AD0">
        <w:trPr>
          <w:trHeight w:val="198"/>
          <w:jc w:val="center"/>
        </w:trPr>
        <w:tc>
          <w:tcPr>
            <w:tcW w:w="730" w:type="dxa"/>
            <w:shd w:val="clear" w:color="auto" w:fill="F2F2F2" w:themeFill="background1" w:themeFillShade="F2"/>
          </w:tcPr>
          <w:p w14:paraId="36A061C3" w14:textId="77777777" w:rsidR="00E00AD0" w:rsidRPr="00A61B76" w:rsidRDefault="00E00AD0" w:rsidP="00CF685F">
            <w:pPr>
              <w:spacing w:after="0"/>
              <w:contextualSpacing/>
              <w:jc w:val="center"/>
              <w:rPr>
                <w:rFonts w:ascii="Arial" w:hAnsi="Arial" w:cs="Arial"/>
                <w:b/>
                <w:bCs/>
                <w:szCs w:val="20"/>
              </w:rPr>
            </w:pPr>
          </w:p>
        </w:tc>
        <w:tc>
          <w:tcPr>
            <w:tcW w:w="1484" w:type="dxa"/>
            <w:shd w:val="clear" w:color="auto" w:fill="F2F2F2" w:themeFill="background1" w:themeFillShade="F2"/>
          </w:tcPr>
          <w:p w14:paraId="41D3597F" w14:textId="2C96D7EC" w:rsidR="00E00AD0" w:rsidRPr="00A61B76" w:rsidRDefault="00E00AD0" w:rsidP="00CF685F">
            <w:pPr>
              <w:spacing w:after="0"/>
              <w:contextualSpacing/>
              <w:jc w:val="center"/>
              <w:rPr>
                <w:rFonts w:ascii="Arial" w:hAnsi="Arial" w:cs="Arial"/>
                <w:b/>
                <w:bCs/>
                <w:szCs w:val="20"/>
              </w:rPr>
            </w:pPr>
            <w:proofErr w:type="spellStart"/>
            <w:r>
              <w:rPr>
                <w:rFonts w:ascii="Arial" w:hAnsi="Arial" w:cs="Arial"/>
                <w:b/>
                <w:bCs/>
                <w:szCs w:val="20"/>
              </w:rPr>
              <w:t>Olaparib</w:t>
            </w:r>
            <w:proofErr w:type="spellEnd"/>
          </w:p>
        </w:tc>
      </w:tr>
      <w:tr w:rsidR="00E00AD0" w:rsidRPr="00A61B76" w14:paraId="5C32485E" w14:textId="77777777" w:rsidTr="00E00AD0">
        <w:trPr>
          <w:trHeight w:val="306"/>
          <w:jc w:val="center"/>
        </w:trPr>
        <w:tc>
          <w:tcPr>
            <w:tcW w:w="730" w:type="dxa"/>
            <w:shd w:val="clear" w:color="auto" w:fill="auto"/>
            <w:hideMark/>
          </w:tcPr>
          <w:p w14:paraId="63F59317"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BC</w:t>
            </w:r>
          </w:p>
        </w:tc>
        <w:tc>
          <w:tcPr>
            <w:tcW w:w="1484" w:type="dxa"/>
            <w:shd w:val="clear" w:color="auto" w:fill="auto"/>
            <w:tcMar>
              <w:top w:w="72" w:type="dxa"/>
              <w:left w:w="144" w:type="dxa"/>
              <w:bottom w:w="72" w:type="dxa"/>
              <w:right w:w="144" w:type="dxa"/>
            </w:tcMar>
          </w:tcPr>
          <w:p w14:paraId="5F18BDD5"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71AF1E29" w14:textId="77777777" w:rsidTr="00E00AD0">
        <w:trPr>
          <w:trHeight w:val="306"/>
          <w:jc w:val="center"/>
        </w:trPr>
        <w:tc>
          <w:tcPr>
            <w:tcW w:w="730" w:type="dxa"/>
            <w:shd w:val="clear" w:color="auto" w:fill="auto"/>
            <w:hideMark/>
          </w:tcPr>
          <w:p w14:paraId="100F2EEB"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AB</w:t>
            </w:r>
          </w:p>
        </w:tc>
        <w:tc>
          <w:tcPr>
            <w:tcW w:w="1484" w:type="dxa"/>
            <w:shd w:val="clear" w:color="auto" w:fill="auto"/>
            <w:tcMar>
              <w:top w:w="72" w:type="dxa"/>
              <w:left w:w="144" w:type="dxa"/>
              <w:bottom w:w="72" w:type="dxa"/>
              <w:right w:w="144" w:type="dxa"/>
            </w:tcMar>
          </w:tcPr>
          <w:p w14:paraId="3187AF02"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3314ACB0" w14:textId="77777777" w:rsidTr="00E00AD0">
        <w:trPr>
          <w:trHeight w:val="306"/>
          <w:jc w:val="center"/>
        </w:trPr>
        <w:tc>
          <w:tcPr>
            <w:tcW w:w="730" w:type="dxa"/>
            <w:shd w:val="clear" w:color="auto" w:fill="auto"/>
            <w:hideMark/>
          </w:tcPr>
          <w:p w14:paraId="6624EF99"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SK</w:t>
            </w:r>
          </w:p>
        </w:tc>
        <w:tc>
          <w:tcPr>
            <w:tcW w:w="1484" w:type="dxa"/>
            <w:shd w:val="clear" w:color="auto" w:fill="auto"/>
            <w:tcMar>
              <w:top w:w="72" w:type="dxa"/>
              <w:left w:w="144" w:type="dxa"/>
              <w:bottom w:w="72" w:type="dxa"/>
              <w:right w:w="144" w:type="dxa"/>
            </w:tcMar>
          </w:tcPr>
          <w:p w14:paraId="32089F38"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02875548" w14:textId="77777777" w:rsidTr="00E00AD0">
        <w:trPr>
          <w:trHeight w:val="306"/>
          <w:jc w:val="center"/>
        </w:trPr>
        <w:tc>
          <w:tcPr>
            <w:tcW w:w="730" w:type="dxa"/>
            <w:shd w:val="clear" w:color="auto" w:fill="auto"/>
            <w:hideMark/>
          </w:tcPr>
          <w:p w14:paraId="3B31AC7C"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MB</w:t>
            </w:r>
          </w:p>
        </w:tc>
        <w:tc>
          <w:tcPr>
            <w:tcW w:w="1484" w:type="dxa"/>
            <w:shd w:val="clear" w:color="auto" w:fill="auto"/>
            <w:tcMar>
              <w:top w:w="72" w:type="dxa"/>
              <w:left w:w="144" w:type="dxa"/>
              <w:bottom w:w="72" w:type="dxa"/>
              <w:right w:w="144" w:type="dxa"/>
            </w:tcMar>
          </w:tcPr>
          <w:p w14:paraId="7BB2F4FF"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682DF08E" w14:textId="77777777" w:rsidTr="00E00AD0">
        <w:trPr>
          <w:trHeight w:val="306"/>
          <w:jc w:val="center"/>
        </w:trPr>
        <w:tc>
          <w:tcPr>
            <w:tcW w:w="730" w:type="dxa"/>
            <w:shd w:val="clear" w:color="auto" w:fill="auto"/>
            <w:hideMark/>
          </w:tcPr>
          <w:p w14:paraId="1CDF63BB"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ON</w:t>
            </w:r>
          </w:p>
        </w:tc>
        <w:tc>
          <w:tcPr>
            <w:tcW w:w="1484" w:type="dxa"/>
            <w:shd w:val="clear" w:color="auto" w:fill="auto"/>
            <w:tcMar>
              <w:top w:w="72" w:type="dxa"/>
              <w:left w:w="144" w:type="dxa"/>
              <w:bottom w:w="72" w:type="dxa"/>
              <w:right w:w="144" w:type="dxa"/>
            </w:tcMar>
          </w:tcPr>
          <w:p w14:paraId="4101B5BB"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566AAC67" w14:textId="77777777" w:rsidTr="00E00AD0">
        <w:trPr>
          <w:trHeight w:val="306"/>
          <w:jc w:val="center"/>
        </w:trPr>
        <w:tc>
          <w:tcPr>
            <w:tcW w:w="730" w:type="dxa"/>
            <w:shd w:val="clear" w:color="auto" w:fill="auto"/>
            <w:hideMark/>
          </w:tcPr>
          <w:p w14:paraId="45725CBD"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NB</w:t>
            </w:r>
          </w:p>
        </w:tc>
        <w:tc>
          <w:tcPr>
            <w:tcW w:w="1484" w:type="dxa"/>
            <w:shd w:val="clear" w:color="auto" w:fill="auto"/>
            <w:tcMar>
              <w:top w:w="72" w:type="dxa"/>
              <w:left w:w="144" w:type="dxa"/>
              <w:bottom w:w="72" w:type="dxa"/>
              <w:right w:w="144" w:type="dxa"/>
            </w:tcMar>
          </w:tcPr>
          <w:p w14:paraId="4F5CA0BE"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745D6AAF" w14:textId="77777777" w:rsidTr="00E00AD0">
        <w:trPr>
          <w:trHeight w:val="306"/>
          <w:jc w:val="center"/>
        </w:trPr>
        <w:tc>
          <w:tcPr>
            <w:tcW w:w="730" w:type="dxa"/>
            <w:shd w:val="clear" w:color="auto" w:fill="auto"/>
            <w:hideMark/>
          </w:tcPr>
          <w:p w14:paraId="5564D9C9"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NS</w:t>
            </w:r>
          </w:p>
        </w:tc>
        <w:tc>
          <w:tcPr>
            <w:tcW w:w="1484" w:type="dxa"/>
            <w:shd w:val="clear" w:color="auto" w:fill="auto"/>
            <w:tcMar>
              <w:top w:w="72" w:type="dxa"/>
              <w:left w:w="144" w:type="dxa"/>
              <w:bottom w:w="72" w:type="dxa"/>
              <w:right w:w="144" w:type="dxa"/>
            </w:tcMar>
          </w:tcPr>
          <w:p w14:paraId="1903E337"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3DF5D7D0" w14:textId="77777777" w:rsidTr="00E00AD0">
        <w:trPr>
          <w:trHeight w:val="306"/>
          <w:jc w:val="center"/>
        </w:trPr>
        <w:tc>
          <w:tcPr>
            <w:tcW w:w="730" w:type="dxa"/>
            <w:shd w:val="clear" w:color="auto" w:fill="auto"/>
            <w:hideMark/>
          </w:tcPr>
          <w:p w14:paraId="3ED2A78C"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NL</w:t>
            </w:r>
          </w:p>
        </w:tc>
        <w:tc>
          <w:tcPr>
            <w:tcW w:w="1484" w:type="dxa"/>
            <w:shd w:val="clear" w:color="auto" w:fill="auto"/>
            <w:tcMar>
              <w:top w:w="72" w:type="dxa"/>
              <w:left w:w="144" w:type="dxa"/>
              <w:bottom w:w="72" w:type="dxa"/>
              <w:right w:w="144" w:type="dxa"/>
            </w:tcMar>
          </w:tcPr>
          <w:p w14:paraId="327275F5"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 w:val="21"/>
                <w:szCs w:val="21"/>
              </w:rPr>
              <w:sym w:font="Wingdings 2" w:char="F050"/>
            </w:r>
          </w:p>
        </w:tc>
      </w:tr>
      <w:tr w:rsidR="00E00AD0" w:rsidRPr="00A61B76" w14:paraId="3F40AD30" w14:textId="77777777" w:rsidTr="00E00AD0">
        <w:trPr>
          <w:trHeight w:val="306"/>
          <w:jc w:val="center"/>
        </w:trPr>
        <w:tc>
          <w:tcPr>
            <w:tcW w:w="730" w:type="dxa"/>
            <w:shd w:val="clear" w:color="auto" w:fill="auto"/>
            <w:hideMark/>
          </w:tcPr>
          <w:p w14:paraId="1B6516BD" w14:textId="77777777" w:rsidR="00E00AD0" w:rsidRPr="00A61B76" w:rsidRDefault="00E00AD0" w:rsidP="00CF685F">
            <w:pPr>
              <w:spacing w:after="0"/>
              <w:contextualSpacing/>
              <w:jc w:val="center"/>
              <w:rPr>
                <w:rFonts w:ascii="Arial" w:hAnsi="Arial" w:cs="Arial"/>
                <w:szCs w:val="20"/>
              </w:rPr>
            </w:pPr>
            <w:r w:rsidRPr="00A61B76">
              <w:rPr>
                <w:rFonts w:ascii="Arial" w:hAnsi="Arial" w:cs="Arial"/>
                <w:szCs w:val="20"/>
              </w:rPr>
              <w:t>PEI</w:t>
            </w:r>
          </w:p>
        </w:tc>
        <w:tc>
          <w:tcPr>
            <w:tcW w:w="1484" w:type="dxa"/>
            <w:shd w:val="clear" w:color="auto" w:fill="auto"/>
            <w:tcMar>
              <w:top w:w="72" w:type="dxa"/>
              <w:left w:w="144" w:type="dxa"/>
              <w:bottom w:w="72" w:type="dxa"/>
              <w:right w:w="144" w:type="dxa"/>
            </w:tcMar>
          </w:tcPr>
          <w:p w14:paraId="102611C7" w14:textId="0EEFCF3E" w:rsidR="00E00AD0" w:rsidRPr="00A61B76" w:rsidRDefault="00CC69D4" w:rsidP="00CF685F">
            <w:pPr>
              <w:spacing w:after="0"/>
              <w:contextualSpacing/>
              <w:jc w:val="center"/>
              <w:rPr>
                <w:rFonts w:ascii="Arial" w:hAnsi="Arial" w:cs="Arial"/>
                <w:szCs w:val="20"/>
              </w:rPr>
            </w:pPr>
            <w:r w:rsidRPr="00A61B76">
              <w:rPr>
                <w:rFonts w:ascii="Arial" w:hAnsi="Arial" w:cs="Arial"/>
                <w:sz w:val="18"/>
                <w:szCs w:val="21"/>
              </w:rPr>
              <w:t>†</w:t>
            </w:r>
          </w:p>
        </w:tc>
      </w:tr>
    </w:tbl>
    <w:p w14:paraId="2F40E16E" w14:textId="77777777" w:rsidR="00E00AD0" w:rsidRPr="00A61B76" w:rsidRDefault="00E00AD0" w:rsidP="00E00AD0">
      <w:pPr>
        <w:contextualSpacing/>
        <w:jc w:val="center"/>
        <w:rPr>
          <w:rFonts w:ascii="Arial" w:hAnsi="Arial" w:cs="Arial"/>
          <w:sz w:val="21"/>
          <w:szCs w:val="21"/>
        </w:rPr>
      </w:pPr>
      <w:r w:rsidRPr="00A61B76">
        <w:rPr>
          <w:rFonts w:ascii="Arial" w:hAnsi="Arial" w:cs="Arial"/>
          <w:sz w:val="18"/>
          <w:szCs w:val="21"/>
        </w:rPr>
        <w:sym w:font="Wingdings 2" w:char="F050"/>
      </w:r>
      <w:r w:rsidRPr="00A61B76">
        <w:rPr>
          <w:rFonts w:ascii="Arial" w:hAnsi="Arial" w:cs="Arial"/>
          <w:sz w:val="18"/>
          <w:szCs w:val="21"/>
        </w:rPr>
        <w:t xml:space="preserve"> Funded; </w:t>
      </w:r>
      <w:r w:rsidRPr="00A61B76">
        <w:rPr>
          <w:rFonts w:ascii="Arial" w:hAnsi="Arial" w:cs="Arial"/>
          <w:sz w:val="18"/>
          <w:szCs w:val="21"/>
        </w:rPr>
        <w:sym w:font="Wingdings" w:char="F0FB"/>
      </w:r>
      <w:r w:rsidRPr="00A61B76">
        <w:rPr>
          <w:rFonts w:ascii="Arial" w:hAnsi="Arial" w:cs="Arial"/>
          <w:sz w:val="18"/>
          <w:szCs w:val="21"/>
        </w:rPr>
        <w:t xml:space="preserve"> Not funded; † Under provincial consideration</w:t>
      </w:r>
    </w:p>
    <w:p w14:paraId="6DD6447E" w14:textId="77777777" w:rsidR="00E00AD0" w:rsidRPr="000028EA" w:rsidRDefault="00E00AD0">
      <w:pPr>
        <w:rPr>
          <w:rFonts w:ascii="Arial" w:hAnsi="Arial" w:cs="Arial"/>
          <w:sz w:val="18"/>
          <w:szCs w:val="18"/>
        </w:rPr>
      </w:pPr>
    </w:p>
    <w:sectPr w:rsidR="00E00AD0"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val="en-US"/>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3C5F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253A1775"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C69D4">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253A1775"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C69D4">
                      <w:rPr>
                        <w:rFonts w:ascii="Arial" w:hAnsi="Arial" w:cs="Arial"/>
                        <w:noProof/>
                        <w:sz w:val="14"/>
                        <w:szCs w:val="14"/>
                      </w:rPr>
                      <w:t>3</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val="en-US"/>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3D65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573C880E"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C69D4">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573C880E"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C69D4">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val="en-US"/>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val="en-US"/>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07F2A4E"/>
    <w:multiLevelType w:val="hybridMultilevel"/>
    <w:tmpl w:val="793E9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3"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8245199"/>
    <w:multiLevelType w:val="hybridMultilevel"/>
    <w:tmpl w:val="BED0BDFE"/>
    <w:lvl w:ilvl="0" w:tplc="1E32DF94">
      <w:start w:val="1"/>
      <w:numFmt w:val="bullet"/>
      <w:lvlText w:val=""/>
      <w:lvlJc w:val="left"/>
      <w:pPr>
        <w:ind w:left="938" w:hanging="360"/>
      </w:pPr>
      <w:rPr>
        <w:rFonts w:ascii="Symbol" w:hAnsi="Symbol" w:hint="default"/>
        <w:sz w:val="16"/>
      </w:rPr>
    </w:lvl>
    <w:lvl w:ilvl="1" w:tplc="AB70531C">
      <w:start w:val="1"/>
      <w:numFmt w:val="lowerLetter"/>
      <w:lvlText w:val="%2)"/>
      <w:lvlJc w:val="left"/>
      <w:pPr>
        <w:ind w:left="1658" w:hanging="360"/>
      </w:pPr>
      <w:rPr>
        <w:rFonts w:hint="default"/>
        <w:b w:val="0"/>
        <w:i w:val="0"/>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2"/>
  </w:num>
  <w:num w:numId="21">
    <w:abstractNumId w:val="10"/>
  </w:num>
  <w:num w:numId="22">
    <w:abstractNumId w:val="28"/>
  </w:num>
  <w:num w:numId="23">
    <w:abstractNumId w:val="45"/>
  </w:num>
  <w:num w:numId="24">
    <w:abstractNumId w:val="16"/>
  </w:num>
  <w:num w:numId="25">
    <w:abstractNumId w:val="26"/>
  </w:num>
  <w:num w:numId="26">
    <w:abstractNumId w:val="36"/>
  </w:num>
  <w:num w:numId="27">
    <w:abstractNumId w:val="20"/>
  </w:num>
  <w:num w:numId="28">
    <w:abstractNumId w:val="25"/>
  </w:num>
  <w:num w:numId="29">
    <w:abstractNumId w:val="18"/>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3"/>
  </w:num>
  <w:num w:numId="39">
    <w:abstractNumId w:val="44"/>
  </w:num>
  <w:num w:numId="40">
    <w:abstractNumId w:val="17"/>
  </w:num>
  <w:num w:numId="41">
    <w:abstractNumId w:val="39"/>
  </w:num>
  <w:num w:numId="42">
    <w:abstractNumId w:val="19"/>
  </w:num>
  <w:num w:numId="43">
    <w:abstractNumId w:val="34"/>
  </w:num>
  <w:num w:numId="44">
    <w:abstractNumId w:val="41"/>
  </w:num>
  <w:num w:numId="45">
    <w:abstractNumId w:val="21"/>
  </w:num>
  <w:num w:numId="46">
    <w:abstractNumId w:val="14"/>
  </w:num>
  <w:num w:numId="47">
    <w:abstractNumId w:val="32"/>
  </w:num>
  <w:num w:numId="48">
    <w:abstractNumId w:val="9"/>
  </w:num>
  <w:num w:numId="49">
    <w:abstractNumId w:val="33"/>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30EA"/>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17C7A"/>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39C6"/>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358B"/>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101"/>
    <w:rsid w:val="004476A6"/>
    <w:rsid w:val="00447F53"/>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C6EB4"/>
    <w:rsid w:val="005D06D4"/>
    <w:rsid w:val="005D191F"/>
    <w:rsid w:val="005D4930"/>
    <w:rsid w:val="005E05D0"/>
    <w:rsid w:val="005E1647"/>
    <w:rsid w:val="005E4554"/>
    <w:rsid w:val="005E5C62"/>
    <w:rsid w:val="005E6BD0"/>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0D83"/>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2FD"/>
    <w:rsid w:val="00797054"/>
    <w:rsid w:val="007A5938"/>
    <w:rsid w:val="007A7C07"/>
    <w:rsid w:val="007B042C"/>
    <w:rsid w:val="007B28D4"/>
    <w:rsid w:val="007B3DF2"/>
    <w:rsid w:val="007B5D30"/>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53763"/>
    <w:rsid w:val="00856E51"/>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1C10"/>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2162"/>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3E63"/>
    <w:rsid w:val="00CB4103"/>
    <w:rsid w:val="00CC3328"/>
    <w:rsid w:val="00CC380E"/>
    <w:rsid w:val="00CC3B85"/>
    <w:rsid w:val="00CC3F04"/>
    <w:rsid w:val="00CC4A9C"/>
    <w:rsid w:val="00CC69D4"/>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0AD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ovari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en/medicines/human/EPAR/zejula" TargetMode="External"/><Relationship Id="rId2" Type="http://schemas.openxmlformats.org/officeDocument/2006/relationships/numbering" Target="numbering.xml"/><Relationship Id="rId16" Type="http://schemas.openxmlformats.org/officeDocument/2006/relationships/hyperlink" Target="https://www.fda.gov/drugs/resources-information-approved-drugs/niraparib-zejula" TargetMode="External"/><Relationship Id="rId20" Type="http://schemas.openxmlformats.org/officeDocument/2006/relationships/hyperlink" Target="https://www.esmo.org/Guidelines/Gynaecological-Cancers/ESMO-ESGO-Consensus-Conference-Recommendations-on-Ovarian-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31173551" TargetMode="External"/><Relationship Id="rId10" Type="http://schemas.openxmlformats.org/officeDocument/2006/relationships/header" Target="header1.xml"/><Relationship Id="rId19" Type="http://schemas.openxmlformats.org/officeDocument/2006/relationships/hyperlink" Target="https://ascopubs.org/doi/abs/10.1200/JCO.2016.68.6907"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84727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26EE-BB6B-410A-AC73-69AFE380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2019-11-05T13:34:00Z</dcterms:created>
  <dcterms:modified xsi:type="dcterms:W3CDTF">2019-11-29T15:25:00Z</dcterms:modified>
</cp:coreProperties>
</file>