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5F211E" w:rsidRDefault="00121EB1" w:rsidP="00EB0EEF">
            <w:pPr>
              <w:pStyle w:val="DocumentTitle"/>
              <w:tabs>
                <w:tab w:val="left" w:pos="1074"/>
              </w:tabs>
              <w:spacing w:before="80" w:after="80"/>
              <w:rPr>
                <w:color w:val="FFFFFF" w:themeColor="background1"/>
                <w:sz w:val="18"/>
                <w:szCs w:val="20"/>
              </w:rPr>
            </w:pPr>
            <w:r w:rsidRPr="005F211E">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4FF4A413" w:rsidR="00121EB1" w:rsidRPr="00280222" w:rsidRDefault="00CB5E8A" w:rsidP="00860375">
            <w:pPr>
              <w:pStyle w:val="DocumentTitle"/>
              <w:tabs>
                <w:tab w:val="left" w:pos="1074"/>
              </w:tabs>
              <w:spacing w:before="0" w:after="0"/>
              <w:rPr>
                <w:sz w:val="18"/>
                <w:szCs w:val="20"/>
              </w:rPr>
            </w:pPr>
            <w:r w:rsidRPr="00280222">
              <w:rPr>
                <w:sz w:val="18"/>
                <w:szCs w:val="20"/>
              </w:rPr>
              <w:t>pCODR 10</w:t>
            </w:r>
            <w:r w:rsidR="00FA54C4" w:rsidRPr="00280222">
              <w:rPr>
                <w:sz w:val="18"/>
                <w:szCs w:val="20"/>
              </w:rPr>
              <w:t>20</w:t>
            </w:r>
            <w:r w:rsidR="005F211E" w:rsidRPr="00280222">
              <w:rPr>
                <w:sz w:val="18"/>
                <w:szCs w:val="20"/>
              </w:rPr>
              <w:t>5</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4E525C35" w:rsidR="00F369F8" w:rsidRPr="00280222" w:rsidRDefault="00280222" w:rsidP="00B073A2">
            <w:pPr>
              <w:pStyle w:val="DocumentTitle"/>
              <w:tabs>
                <w:tab w:val="left" w:pos="1074"/>
              </w:tabs>
              <w:spacing w:before="0" w:after="0"/>
              <w:rPr>
                <w:sz w:val="18"/>
                <w:szCs w:val="20"/>
              </w:rPr>
            </w:pPr>
            <w:r w:rsidRPr="00280222">
              <w:rPr>
                <w:sz w:val="18"/>
                <w:szCs w:val="20"/>
              </w:rPr>
              <w:t>Fedratinib (</w:t>
            </w:r>
            <w:r w:rsidR="003F276D">
              <w:rPr>
                <w:sz w:val="18"/>
                <w:szCs w:val="20"/>
              </w:rPr>
              <w:t>Inrebic</w:t>
            </w:r>
            <w:r w:rsidRPr="00280222">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1F3DE968" w:rsidR="00F369F8" w:rsidRPr="00280222" w:rsidRDefault="00FC779D" w:rsidP="00860375">
            <w:pPr>
              <w:pStyle w:val="DocumentTitle"/>
              <w:tabs>
                <w:tab w:val="left" w:pos="1074"/>
              </w:tabs>
              <w:spacing w:before="0" w:after="0"/>
              <w:rPr>
                <w:sz w:val="18"/>
                <w:szCs w:val="20"/>
              </w:rPr>
            </w:pPr>
            <w:r w:rsidRPr="00FC779D">
              <w:rPr>
                <w:sz w:val="18"/>
                <w:szCs w:val="18"/>
              </w:rPr>
              <w:t>For the treatment of splenomegaly and/or disease-related symptoms in adult patients with intermediate-2 or high-risk primary myelofibrosis, post-polycythemia vera myelofibrosis or post-essential thrombocythemia myelofibrosis, including patients who have been previously exposed to ruxolitinib.</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7B061D" w:rsidRDefault="00F369F8" w:rsidP="00EB0EEF">
            <w:pPr>
              <w:pStyle w:val="DocumentTitle"/>
              <w:tabs>
                <w:tab w:val="left" w:pos="1074"/>
              </w:tabs>
              <w:spacing w:before="80" w:after="80"/>
              <w:rPr>
                <w:color w:val="FFFFFF" w:themeColor="background1"/>
                <w:sz w:val="18"/>
                <w:szCs w:val="20"/>
              </w:rPr>
            </w:pPr>
            <w:r w:rsidRPr="007B061D">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2A6BDD7D" w:rsidR="00987CDC" w:rsidRPr="007B061D" w:rsidRDefault="00FC779D" w:rsidP="00066C52">
            <w:pPr>
              <w:pStyle w:val="DocumentTitle"/>
              <w:tabs>
                <w:tab w:val="left" w:pos="1074"/>
              </w:tabs>
              <w:spacing w:before="0" w:after="0"/>
              <w:rPr>
                <w:sz w:val="18"/>
                <w:szCs w:val="18"/>
              </w:rPr>
            </w:pPr>
            <w:r>
              <w:rPr>
                <w:sz w:val="18"/>
                <w:szCs w:val="18"/>
              </w:rPr>
              <w:t>Same as indication</w:t>
            </w:r>
            <w:bookmarkStart w:id="0" w:name="_GoBack"/>
            <w:bookmarkEnd w:id="0"/>
          </w:p>
        </w:tc>
      </w:tr>
      <w:tr w:rsidR="00F369F8" w:rsidRPr="007B061D"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7B061D" w:rsidRDefault="00554ADB" w:rsidP="00EB0EEF">
            <w:pPr>
              <w:pStyle w:val="DocumentTitle"/>
              <w:tabs>
                <w:tab w:val="left" w:pos="1074"/>
              </w:tabs>
              <w:spacing w:before="0" w:after="0"/>
              <w:rPr>
                <w:color w:val="FFFFFF" w:themeColor="background1"/>
                <w:sz w:val="18"/>
                <w:szCs w:val="20"/>
              </w:rPr>
            </w:pPr>
            <w:r w:rsidRPr="007B061D">
              <w:rPr>
                <w:color w:val="FFFFFF" w:themeColor="background1"/>
                <w:sz w:val="18"/>
                <w:szCs w:val="20"/>
              </w:rPr>
              <w:t xml:space="preserve">Trial(s) </w:t>
            </w:r>
            <w:r w:rsidR="00D47251" w:rsidRPr="007B061D">
              <w:rPr>
                <w:color w:val="FFFFFF" w:themeColor="background1"/>
                <w:sz w:val="18"/>
                <w:szCs w:val="20"/>
              </w:rPr>
              <w:t>B</w:t>
            </w:r>
            <w:r w:rsidRPr="007B061D">
              <w:rPr>
                <w:color w:val="FFFFFF" w:themeColor="background1"/>
                <w:sz w:val="18"/>
                <w:szCs w:val="20"/>
              </w:rPr>
              <w:t xml:space="preserve">eing </w:t>
            </w:r>
            <w:r w:rsidR="00D47251" w:rsidRPr="007B061D">
              <w:rPr>
                <w:color w:val="FFFFFF" w:themeColor="background1"/>
                <w:sz w:val="18"/>
                <w:szCs w:val="20"/>
              </w:rPr>
              <w:t>S</w:t>
            </w:r>
            <w:r w:rsidRPr="007B061D">
              <w:rPr>
                <w:color w:val="FFFFFF" w:themeColor="background1"/>
                <w:sz w:val="18"/>
                <w:szCs w:val="20"/>
              </w:rPr>
              <w:t xml:space="preserve">ubmitted </w:t>
            </w:r>
            <w:r w:rsidR="00F92BE1" w:rsidRPr="007B061D">
              <w:rPr>
                <w:color w:val="FFFFFF" w:themeColor="background1"/>
                <w:sz w:val="18"/>
                <w:szCs w:val="20"/>
              </w:rPr>
              <w:t>to</w:t>
            </w:r>
            <w:r w:rsidRPr="007B061D">
              <w:rPr>
                <w:color w:val="FFFFFF" w:themeColor="background1"/>
                <w:sz w:val="18"/>
                <w:szCs w:val="20"/>
              </w:rPr>
              <w:t xml:space="preserve"> pCODR</w:t>
            </w:r>
            <w:r w:rsidR="00865015" w:rsidRPr="007B061D">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5D6457C9" w14:textId="77777777" w:rsidR="007B061D" w:rsidRPr="005930EE" w:rsidRDefault="007B061D" w:rsidP="003B503C">
            <w:pPr>
              <w:pStyle w:val="DocumentTitle"/>
              <w:numPr>
                <w:ilvl w:val="0"/>
                <w:numId w:val="44"/>
              </w:numPr>
              <w:tabs>
                <w:tab w:val="left" w:pos="1074"/>
              </w:tabs>
              <w:spacing w:before="0" w:after="0"/>
              <w:rPr>
                <w:sz w:val="18"/>
                <w:szCs w:val="18"/>
                <w:lang w:val="fr-FR"/>
              </w:rPr>
            </w:pPr>
            <w:r w:rsidRPr="005930EE">
              <w:rPr>
                <w:color w:val="000000"/>
                <w:sz w:val="18"/>
                <w:szCs w:val="18"/>
                <w:shd w:val="clear" w:color="auto" w:fill="FFFFFF"/>
                <w:lang w:val="fr-FR"/>
              </w:rPr>
              <w:t>JAKARTA (</w:t>
            </w:r>
            <w:hyperlink r:id="rId14" w:tgtFrame="_blank" w:history="1">
              <w:r w:rsidRPr="005930EE">
                <w:rPr>
                  <w:rStyle w:val="Hyperlink"/>
                  <w:sz w:val="18"/>
                  <w:szCs w:val="18"/>
                  <w:bdr w:val="none" w:sz="0" w:space="0" w:color="auto" w:frame="1"/>
                  <w:shd w:val="clear" w:color="auto" w:fill="FFFFFF"/>
                  <w:lang w:val="fr-FR"/>
                </w:rPr>
                <w:t>NCT01437787</w:t>
              </w:r>
            </w:hyperlink>
            <w:r w:rsidRPr="005930EE">
              <w:rPr>
                <w:color w:val="000000"/>
                <w:sz w:val="18"/>
                <w:szCs w:val="18"/>
                <w:shd w:val="clear" w:color="auto" w:fill="FFFFFF"/>
                <w:lang w:val="fr-FR"/>
              </w:rPr>
              <w:t>); </w:t>
            </w:r>
            <w:hyperlink r:id="rId15" w:tgtFrame="_blank" w:history="1">
              <w:r w:rsidRPr="005930EE">
                <w:rPr>
                  <w:rStyle w:val="Hyperlink"/>
                  <w:sz w:val="18"/>
                  <w:szCs w:val="18"/>
                  <w:bdr w:val="none" w:sz="0" w:space="0" w:color="auto" w:frame="1"/>
                  <w:shd w:val="clear" w:color="auto" w:fill="FFFFFF"/>
                  <w:lang w:val="fr-FR"/>
                </w:rPr>
                <w:t>Pardanani et al JAMA Oncol 2015</w:t>
              </w:r>
            </w:hyperlink>
            <w:r w:rsidRPr="005930EE">
              <w:rPr>
                <w:color w:val="000000"/>
                <w:sz w:val="18"/>
                <w:szCs w:val="18"/>
                <w:shd w:val="clear" w:color="auto" w:fill="FFFFFF"/>
                <w:lang w:val="fr-FR"/>
              </w:rPr>
              <w:t>.</w:t>
            </w:r>
          </w:p>
          <w:p w14:paraId="52AF8FBD" w14:textId="1647D934" w:rsidR="007B061D" w:rsidRPr="005930EE" w:rsidRDefault="007B061D" w:rsidP="003B503C">
            <w:pPr>
              <w:pStyle w:val="DocumentTitle"/>
              <w:numPr>
                <w:ilvl w:val="0"/>
                <w:numId w:val="44"/>
              </w:numPr>
              <w:tabs>
                <w:tab w:val="left" w:pos="1074"/>
              </w:tabs>
              <w:spacing w:before="0" w:after="0"/>
              <w:rPr>
                <w:sz w:val="18"/>
                <w:szCs w:val="18"/>
                <w:lang w:val="fr-FR"/>
              </w:rPr>
            </w:pPr>
            <w:r w:rsidRPr="005930EE">
              <w:rPr>
                <w:color w:val="000000"/>
                <w:sz w:val="18"/>
                <w:szCs w:val="18"/>
                <w:shd w:val="clear" w:color="auto" w:fill="FFFFFF"/>
                <w:lang w:val="fr-FR"/>
              </w:rPr>
              <w:t>JAKARTA-2 (</w:t>
            </w:r>
            <w:hyperlink r:id="rId16" w:tgtFrame="_blank" w:history="1">
              <w:r w:rsidRPr="005930EE">
                <w:rPr>
                  <w:rStyle w:val="Hyperlink"/>
                  <w:sz w:val="18"/>
                  <w:szCs w:val="18"/>
                  <w:bdr w:val="none" w:sz="0" w:space="0" w:color="auto" w:frame="1"/>
                  <w:shd w:val="clear" w:color="auto" w:fill="FFFFFF"/>
                  <w:lang w:val="fr-FR"/>
                </w:rPr>
                <w:t>NCT01523171</w:t>
              </w:r>
            </w:hyperlink>
            <w:r w:rsidRPr="005930EE">
              <w:rPr>
                <w:color w:val="000000"/>
                <w:sz w:val="18"/>
                <w:szCs w:val="18"/>
                <w:shd w:val="clear" w:color="auto" w:fill="FFFFFF"/>
                <w:lang w:val="fr-FR"/>
              </w:rPr>
              <w:t>); </w:t>
            </w:r>
            <w:hyperlink r:id="rId17" w:tgtFrame="_blank" w:history="1">
              <w:r w:rsidRPr="005930EE">
                <w:rPr>
                  <w:rStyle w:val="Hyperlink"/>
                  <w:sz w:val="18"/>
                  <w:szCs w:val="18"/>
                  <w:bdr w:val="none" w:sz="0" w:space="0" w:color="auto" w:frame="1"/>
                  <w:shd w:val="clear" w:color="auto" w:fill="FFFFFF"/>
                  <w:lang w:val="fr-FR"/>
                </w:rPr>
                <w:t>Harrison et al, Lancet Haematol Jul 2017</w:t>
              </w:r>
            </w:hyperlink>
            <w:r w:rsidRPr="005930EE">
              <w:rPr>
                <w:color w:val="000000"/>
                <w:sz w:val="18"/>
                <w:szCs w:val="18"/>
                <w:shd w:val="clear" w:color="auto" w:fill="FFFFFF"/>
                <w:lang w:val="fr-FR"/>
              </w:rPr>
              <w:t>; </w:t>
            </w:r>
            <w:hyperlink r:id="rId18" w:tgtFrame="_blank" w:history="1">
              <w:r w:rsidRPr="005930EE">
                <w:rPr>
                  <w:rStyle w:val="Hyperlink"/>
                  <w:sz w:val="18"/>
                  <w:szCs w:val="18"/>
                  <w:bdr w:val="none" w:sz="0" w:space="0" w:color="auto" w:frame="1"/>
                  <w:shd w:val="clear" w:color="auto" w:fill="FFFFFF"/>
                  <w:lang w:val="fr-FR"/>
                </w:rPr>
                <w:t>Harrison et al J Clin Oncol 2019 [abstract]</w:t>
              </w:r>
            </w:hyperlink>
            <w:r w:rsidRPr="005930EE">
              <w:rPr>
                <w:color w:val="000000"/>
                <w:sz w:val="18"/>
                <w:szCs w:val="18"/>
                <w:shd w:val="clear" w:color="auto" w:fill="FFFFFF"/>
                <w:lang w:val="fr-FR"/>
              </w:rPr>
              <w:t>.</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2005C1" w:rsidRDefault="00275E1C"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 xml:space="preserve">Health Canada </w:t>
            </w:r>
            <w:r w:rsidR="00D47251" w:rsidRPr="002005C1">
              <w:rPr>
                <w:color w:val="FFFFFF" w:themeColor="background1"/>
                <w:sz w:val="18"/>
                <w:szCs w:val="20"/>
              </w:rPr>
              <w:t>S</w:t>
            </w:r>
            <w:r w:rsidRPr="002005C1">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14BC7CCE" w:rsidR="00F60A6E" w:rsidRPr="005930EE" w:rsidRDefault="003F276D" w:rsidP="00F60A6E">
            <w:pPr>
              <w:pStyle w:val="DocumentTitle"/>
              <w:tabs>
                <w:tab w:val="left" w:pos="1074"/>
              </w:tabs>
              <w:spacing w:after="0"/>
              <w:rPr>
                <w:sz w:val="18"/>
                <w:szCs w:val="20"/>
              </w:rPr>
            </w:pPr>
            <w:r>
              <w:rPr>
                <w:sz w:val="18"/>
                <w:szCs w:val="20"/>
              </w:rPr>
              <w:t>Approved (2020-07-27)</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2005C1" w:rsidRDefault="00716B05"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67300427" w:rsidR="002005C1" w:rsidRPr="005930EE" w:rsidRDefault="003F276D" w:rsidP="00987CDC">
            <w:pPr>
              <w:pStyle w:val="DocumentTitle"/>
              <w:tabs>
                <w:tab w:val="left" w:pos="1074"/>
              </w:tabs>
              <w:spacing w:after="0"/>
              <w:rPr>
                <w:sz w:val="18"/>
                <w:szCs w:val="20"/>
              </w:rPr>
            </w:pPr>
            <w:r>
              <w:rPr>
                <w:sz w:val="18"/>
                <w:szCs w:val="20"/>
              </w:rPr>
              <w:t>Approved (20</w:t>
            </w:r>
            <w:r>
              <w:rPr>
                <w:sz w:val="18"/>
                <w:szCs w:val="20"/>
              </w:rPr>
              <w:t>19</w:t>
            </w:r>
            <w:r>
              <w:rPr>
                <w:sz w:val="18"/>
                <w:szCs w:val="20"/>
              </w:rPr>
              <w:t>-0</w:t>
            </w:r>
            <w:r>
              <w:rPr>
                <w:sz w:val="18"/>
                <w:szCs w:val="20"/>
              </w:rPr>
              <w:t>8-16)</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F369F8"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E</w:t>
            </w:r>
            <w:r w:rsidR="00647D2C" w:rsidRPr="00860375">
              <w:rPr>
                <w:color w:val="FFFFFF" w:themeColor="background1"/>
                <w:sz w:val="18"/>
                <w:szCs w:val="20"/>
              </w:rPr>
              <w:t xml:space="preserve">uropean </w:t>
            </w:r>
            <w:r w:rsidRPr="00860375">
              <w:rPr>
                <w:color w:val="FFFFFF" w:themeColor="background1"/>
                <w:sz w:val="18"/>
                <w:szCs w:val="20"/>
              </w:rPr>
              <w:t>M</w:t>
            </w:r>
            <w:r w:rsidR="00647D2C" w:rsidRPr="00860375">
              <w:rPr>
                <w:color w:val="FFFFFF" w:themeColor="background1"/>
                <w:sz w:val="18"/>
                <w:szCs w:val="20"/>
              </w:rPr>
              <w:t xml:space="preserve">edicines </w:t>
            </w:r>
            <w:r w:rsidRPr="00860375">
              <w:rPr>
                <w:color w:val="FFFFFF" w:themeColor="background1"/>
                <w:sz w:val="18"/>
                <w:szCs w:val="20"/>
              </w:rPr>
              <w:t>A</w:t>
            </w:r>
            <w:r w:rsidR="00647D2C" w:rsidRPr="00860375">
              <w:rPr>
                <w:color w:val="FFFFFF" w:themeColor="background1"/>
                <w:sz w:val="18"/>
                <w:szCs w:val="20"/>
              </w:rPr>
              <w:t>gency</w:t>
            </w:r>
            <w:r w:rsidRPr="00860375">
              <w:rPr>
                <w:color w:val="FFFFFF" w:themeColor="background1"/>
                <w:sz w:val="18"/>
                <w:szCs w:val="20"/>
              </w:rPr>
              <w:t xml:space="preserve"> </w:t>
            </w:r>
            <w:r w:rsidR="00716B05"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2A857BEB" w:rsidR="00987CDC" w:rsidRPr="005930EE" w:rsidRDefault="003F276D" w:rsidP="00F60A6E">
            <w:pPr>
              <w:pStyle w:val="DocumentTitle"/>
              <w:tabs>
                <w:tab w:val="left" w:pos="1074"/>
              </w:tabs>
              <w:spacing w:after="0"/>
              <w:rPr>
                <w:sz w:val="18"/>
                <w:szCs w:val="20"/>
              </w:rPr>
            </w:pPr>
            <w:r>
              <w:rPr>
                <w:sz w:val="18"/>
                <w:szCs w:val="20"/>
              </w:rPr>
              <w:t>Approved (20</w:t>
            </w:r>
            <w:r>
              <w:rPr>
                <w:sz w:val="18"/>
                <w:szCs w:val="20"/>
              </w:rPr>
              <w:t>19</w:t>
            </w:r>
            <w:r>
              <w:rPr>
                <w:sz w:val="18"/>
                <w:szCs w:val="20"/>
              </w:rPr>
              <w:t>-</w:t>
            </w:r>
            <w:r>
              <w:rPr>
                <w:sz w:val="18"/>
                <w:szCs w:val="20"/>
              </w:rPr>
              <w:t>12</w:t>
            </w:r>
            <w:r>
              <w:rPr>
                <w:sz w:val="18"/>
                <w:szCs w:val="20"/>
              </w:rPr>
              <w:t>-2</w:t>
            </w:r>
            <w:r>
              <w:rPr>
                <w:sz w:val="18"/>
                <w:szCs w:val="20"/>
              </w:rPr>
              <w:t>0</w:t>
            </w:r>
            <w:r>
              <w:rPr>
                <w:sz w:val="18"/>
                <w:szCs w:val="20"/>
              </w:rPr>
              <w:t>)</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65D3AD9" w14:textId="6457FA15" w:rsidR="00066C52" w:rsidRPr="005930EE" w:rsidRDefault="005930EE" w:rsidP="00066C52">
            <w:pPr>
              <w:pStyle w:val="DocumentTitle"/>
              <w:tabs>
                <w:tab w:val="left" w:pos="1074"/>
              </w:tabs>
              <w:spacing w:before="0" w:after="0"/>
              <w:rPr>
                <w:rStyle w:val="Hyperlink"/>
                <w:sz w:val="18"/>
                <w:szCs w:val="20"/>
              </w:rPr>
            </w:pPr>
            <w:r w:rsidRPr="005930EE">
              <w:rPr>
                <w:sz w:val="18"/>
                <w:szCs w:val="20"/>
              </w:rPr>
              <w:fldChar w:fldCharType="begin"/>
            </w:r>
            <w:r w:rsidRPr="005930EE">
              <w:rPr>
                <w:sz w:val="18"/>
                <w:szCs w:val="20"/>
              </w:rPr>
              <w:instrText xml:space="preserve"> HYPERLINK "https://www.nccn.org/professionals/physician_gls/pdf/mpn.pdf" </w:instrText>
            </w:r>
            <w:r w:rsidRPr="005930EE">
              <w:rPr>
                <w:sz w:val="18"/>
                <w:szCs w:val="20"/>
              </w:rPr>
              <w:fldChar w:fldCharType="separate"/>
            </w:r>
            <w:r w:rsidR="00066C52" w:rsidRPr="005930EE">
              <w:rPr>
                <w:rStyle w:val="Hyperlink"/>
                <w:sz w:val="18"/>
                <w:szCs w:val="20"/>
              </w:rPr>
              <w:t xml:space="preserve">NCCN Guidelines </w:t>
            </w:r>
            <w:r w:rsidRPr="005930EE">
              <w:rPr>
                <w:rStyle w:val="Hyperlink"/>
                <w:sz w:val="18"/>
                <w:szCs w:val="20"/>
              </w:rPr>
              <w:t>Myeloproliferative Neoplasms</w:t>
            </w:r>
            <w:r w:rsidR="00987CDC" w:rsidRPr="005930EE">
              <w:rPr>
                <w:rStyle w:val="Hyperlink"/>
                <w:sz w:val="18"/>
                <w:szCs w:val="20"/>
              </w:rPr>
              <w:t xml:space="preserve">. </w:t>
            </w:r>
          </w:p>
          <w:p w14:paraId="17E99E46" w14:textId="10E3D739" w:rsidR="005930EE" w:rsidRPr="005930EE" w:rsidRDefault="005930EE" w:rsidP="00066C52">
            <w:pPr>
              <w:pStyle w:val="DocumentTitle"/>
              <w:tabs>
                <w:tab w:val="left" w:pos="1074"/>
              </w:tabs>
              <w:spacing w:before="0" w:after="0"/>
              <w:rPr>
                <w:sz w:val="18"/>
                <w:szCs w:val="20"/>
              </w:rPr>
            </w:pPr>
            <w:r w:rsidRPr="005930EE">
              <w:rPr>
                <w:sz w:val="18"/>
                <w:szCs w:val="20"/>
              </w:rPr>
              <w:fldChar w:fldCharType="end"/>
            </w:r>
            <w:hyperlink r:id="rId19" w:history="1">
              <w:r w:rsidRPr="005930EE">
                <w:rPr>
                  <w:rStyle w:val="Hyperlink"/>
                  <w:sz w:val="18"/>
                  <w:szCs w:val="20"/>
                </w:rPr>
                <w:t>ESMO Clinical Practice Guidelines: Haematological Malignancies</w:t>
              </w:r>
            </w:hyperlink>
          </w:p>
        </w:tc>
      </w:tr>
      <w:tr w:rsidR="00420EEA"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912B81" w:rsidRDefault="00420EEA" w:rsidP="00EB0EEF">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1A65D5F3" w:rsidR="00710BFB" w:rsidRPr="005930EE" w:rsidRDefault="005F211E" w:rsidP="00710BFB">
            <w:pPr>
              <w:pStyle w:val="DocumentTitle"/>
              <w:tabs>
                <w:tab w:val="left" w:pos="1074"/>
              </w:tabs>
              <w:spacing w:after="0"/>
              <w:rPr>
                <w:color w:val="C00000"/>
                <w:sz w:val="18"/>
                <w:szCs w:val="18"/>
              </w:rPr>
            </w:pPr>
            <w:r w:rsidRPr="005930EE">
              <w:rPr>
                <w:sz w:val="18"/>
                <w:szCs w:val="18"/>
              </w:rPr>
              <w:t>Ruxolitinib is funded in almost all jurisdictions for intermediate to high risk symptomatic myelofibrosis as assessed using the Dynamic International Prognostic Scoring System (DIPSS) Plus or patients with symptomatic splenomegaly. Some patients may receive hydroxyurea or best supportive care.</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DC1F283" w14:textId="77777777" w:rsidR="000635BE" w:rsidRDefault="002428F1" w:rsidP="000635BE">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p w14:paraId="2E7657EB" w14:textId="7D123D54" w:rsidR="00710BFB" w:rsidRPr="005F211E" w:rsidRDefault="000635BE" w:rsidP="005F211E">
      <w:pPr>
        <w:pStyle w:val="ListParagraph"/>
        <w:numPr>
          <w:ilvl w:val="0"/>
          <w:numId w:val="41"/>
        </w:numPr>
        <w:rPr>
          <w:rFonts w:ascii="Arial" w:hAnsi="Arial" w:cs="Arial"/>
          <w:b/>
          <w:sz w:val="18"/>
          <w:szCs w:val="18"/>
        </w:rPr>
      </w:pPr>
      <w:r w:rsidRPr="005F211E">
        <w:rPr>
          <w:rFonts w:ascii="Arial" w:hAnsi="Arial" w:cs="Arial"/>
          <w:b/>
          <w:sz w:val="18"/>
          <w:szCs w:val="18"/>
        </w:rPr>
        <w:t>Implementation Question</w:t>
      </w:r>
      <w:r w:rsidR="003B503C" w:rsidRPr="005F211E">
        <w:rPr>
          <w:rFonts w:ascii="Arial" w:hAnsi="Arial" w:cs="Arial"/>
          <w:b/>
          <w:sz w:val="18"/>
          <w:szCs w:val="18"/>
        </w:rPr>
        <w:t>s</w:t>
      </w:r>
      <w:r w:rsidRPr="005F211E">
        <w:rPr>
          <w:rFonts w:ascii="Arial" w:hAnsi="Arial" w:cs="Arial"/>
          <w:b/>
          <w:sz w:val="18"/>
          <w:szCs w:val="18"/>
        </w:rPr>
        <w:t xml:space="preserve">: </w:t>
      </w:r>
      <w:r w:rsidR="005F211E" w:rsidRPr="005F211E">
        <w:rPr>
          <w:rFonts w:ascii="Arial" w:hAnsi="Arial" w:cs="Arial"/>
          <w:b/>
          <w:sz w:val="18"/>
          <w:szCs w:val="18"/>
        </w:rPr>
        <w:t>In clinical practice, is there evidence to extend the use of fedratinib to (provided all other eligibility criteria are met):</w:t>
      </w:r>
    </w:p>
    <w:p w14:paraId="58E838F2" w14:textId="3FC7B3F4" w:rsidR="005F211E" w:rsidRPr="005F211E" w:rsidRDefault="005F211E" w:rsidP="005F211E">
      <w:pPr>
        <w:pStyle w:val="ListParagraph"/>
        <w:numPr>
          <w:ilvl w:val="0"/>
          <w:numId w:val="50"/>
        </w:numPr>
        <w:rPr>
          <w:rFonts w:ascii="Arial" w:eastAsia="Times New Roman" w:hAnsi="Arial" w:cs="Arial"/>
          <w:b/>
          <w:sz w:val="18"/>
          <w:szCs w:val="18"/>
        </w:rPr>
      </w:pPr>
      <w:r w:rsidRPr="005F211E">
        <w:rPr>
          <w:rFonts w:ascii="Arial" w:hAnsi="Arial" w:cs="Arial"/>
          <w:b/>
          <w:sz w:val="18"/>
          <w:szCs w:val="18"/>
        </w:rPr>
        <w:t>Patients with an ECOG PS of 3 (to align with criteria from the ruxolitinib review);</w:t>
      </w:r>
    </w:p>
    <w:p w14:paraId="2995239C" w14:textId="77777777" w:rsidR="005F211E" w:rsidRPr="005F211E" w:rsidRDefault="005F211E" w:rsidP="005F211E">
      <w:pPr>
        <w:pStyle w:val="ListParagraph"/>
        <w:numPr>
          <w:ilvl w:val="0"/>
          <w:numId w:val="50"/>
        </w:numPr>
        <w:rPr>
          <w:rFonts w:ascii="Arial" w:eastAsia="Times New Roman" w:hAnsi="Arial" w:cs="Arial"/>
          <w:b/>
          <w:sz w:val="18"/>
          <w:szCs w:val="18"/>
        </w:rPr>
      </w:pPr>
      <w:r w:rsidRPr="005F211E">
        <w:rPr>
          <w:rFonts w:ascii="Arial" w:hAnsi="Arial" w:cs="Arial"/>
          <w:b/>
          <w:sz w:val="18"/>
          <w:szCs w:val="18"/>
        </w:rPr>
        <w:t>Patients with low-risk or intermediate-risk level 2 symptomatic myelofibrosis;</w:t>
      </w:r>
    </w:p>
    <w:p w14:paraId="6D468E8F" w14:textId="521B5A6E" w:rsidR="005F211E" w:rsidRPr="005F211E" w:rsidRDefault="005F211E" w:rsidP="005F211E">
      <w:pPr>
        <w:pStyle w:val="ListParagraph"/>
        <w:numPr>
          <w:ilvl w:val="0"/>
          <w:numId w:val="50"/>
        </w:numPr>
        <w:rPr>
          <w:rFonts w:ascii="Arial" w:eastAsia="Times New Roman" w:hAnsi="Arial" w:cs="Arial"/>
          <w:b/>
          <w:sz w:val="18"/>
          <w:szCs w:val="18"/>
        </w:rPr>
      </w:pPr>
      <w:r w:rsidRPr="005F211E">
        <w:rPr>
          <w:rFonts w:ascii="Arial" w:hAnsi="Arial" w:cs="Arial"/>
          <w:b/>
          <w:sz w:val="18"/>
          <w:szCs w:val="18"/>
        </w:rPr>
        <w:t>Patients with prior treatment with a Janus Kinase 2 (JAK2) inhibitor.</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FC779D"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03A882EE" w14:textId="77777777" w:rsidR="007F0BD8" w:rsidRPr="00EB0EEF" w:rsidRDefault="007F0BD8" w:rsidP="003B503C">
      <w:pPr>
        <w:pStyle w:val="Header"/>
        <w:tabs>
          <w:tab w:val="clear" w:pos="4320"/>
          <w:tab w:val="clear" w:pos="8640"/>
          <w:tab w:val="left" w:pos="480"/>
          <w:tab w:val="center" w:pos="4153"/>
          <w:tab w:val="right" w:pos="8306"/>
        </w:tabs>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6"/>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18C45C7B" w:rsidR="00642187" w:rsidRPr="005F211E"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r w:rsidR="00557689" w:rsidRPr="000A56A6">
        <w:rPr>
          <w:rFonts w:ascii="Arial" w:hAnsi="Arial" w:cs="Arial"/>
          <w:sz w:val="18"/>
        </w:rPr>
        <w:t>in the event that</w:t>
      </w:r>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t>
      </w:r>
      <w:r w:rsidR="00557689" w:rsidRPr="005F211E">
        <w:rPr>
          <w:rFonts w:ascii="Arial" w:hAnsi="Arial" w:cs="Arial"/>
          <w:sz w:val="18"/>
        </w:rPr>
        <w:t xml:space="preserve">would the new </w:t>
      </w:r>
      <w:r w:rsidR="003665AC" w:rsidRPr="005F211E">
        <w:rPr>
          <w:rFonts w:ascii="Arial" w:hAnsi="Arial" w:cs="Arial"/>
          <w:sz w:val="18"/>
        </w:rPr>
        <w:t>treatment be a replacement of current treatment(s) or an</w:t>
      </w:r>
      <w:r w:rsidR="006B2DFA" w:rsidRPr="005F211E">
        <w:rPr>
          <w:rFonts w:ascii="Arial" w:hAnsi="Arial" w:cs="Arial"/>
          <w:sz w:val="18"/>
        </w:rPr>
        <w:t>other</w:t>
      </w:r>
      <w:r w:rsidR="003665AC" w:rsidRPr="005F211E">
        <w:rPr>
          <w:rFonts w:ascii="Arial" w:hAnsi="Arial" w:cs="Arial"/>
          <w:sz w:val="18"/>
        </w:rPr>
        <w:t xml:space="preserve"> option?</w:t>
      </w:r>
    </w:p>
    <w:p w14:paraId="22F2971B" w14:textId="12B32EE8" w:rsidR="002D7127" w:rsidRPr="005F211E" w:rsidRDefault="004747F6" w:rsidP="00710BFB">
      <w:pPr>
        <w:pStyle w:val="ListParagraph"/>
        <w:numPr>
          <w:ilvl w:val="0"/>
          <w:numId w:val="42"/>
        </w:numPr>
        <w:rPr>
          <w:rFonts w:ascii="Arial" w:eastAsia="Times New Roman" w:hAnsi="Arial" w:cs="Arial"/>
          <w:b/>
          <w:sz w:val="18"/>
          <w:szCs w:val="18"/>
        </w:rPr>
      </w:pPr>
      <w:r w:rsidRPr="005F211E">
        <w:rPr>
          <w:rFonts w:ascii="Arial" w:hAnsi="Arial" w:cs="Arial"/>
          <w:b/>
          <w:sz w:val="18"/>
        </w:rPr>
        <w:t xml:space="preserve">Implementation </w:t>
      </w:r>
      <w:r w:rsidRPr="005F211E">
        <w:rPr>
          <w:rFonts w:ascii="Arial" w:hAnsi="Arial" w:cs="Arial"/>
          <w:b/>
          <w:sz w:val="18"/>
          <w:szCs w:val="18"/>
        </w:rPr>
        <w:t>Question</w:t>
      </w:r>
      <w:r w:rsidR="002D7127" w:rsidRPr="005F211E">
        <w:rPr>
          <w:rFonts w:ascii="Arial" w:hAnsi="Arial" w:cs="Arial"/>
          <w:b/>
          <w:sz w:val="18"/>
          <w:szCs w:val="18"/>
        </w:rPr>
        <w:t>s</w:t>
      </w:r>
      <w:r w:rsidRPr="005F211E">
        <w:rPr>
          <w:rFonts w:ascii="Arial" w:hAnsi="Arial" w:cs="Arial"/>
          <w:b/>
          <w:sz w:val="18"/>
          <w:szCs w:val="18"/>
        </w:rPr>
        <w:t>:</w:t>
      </w:r>
      <w:r w:rsidR="00F60A6E" w:rsidRPr="005F211E">
        <w:rPr>
          <w:rFonts w:ascii="Arial" w:hAnsi="Arial" w:cs="Arial"/>
          <w:b/>
          <w:sz w:val="18"/>
          <w:szCs w:val="18"/>
        </w:rPr>
        <w:t xml:space="preserve"> </w:t>
      </w:r>
      <w:r w:rsidR="005F211E" w:rsidRPr="005F211E">
        <w:rPr>
          <w:rFonts w:ascii="Arial" w:eastAsia="Times New Roman" w:hAnsi="Arial" w:cs="Arial"/>
          <w:b/>
          <w:sz w:val="18"/>
          <w:szCs w:val="18"/>
        </w:rPr>
        <w:t>Please consider if there is evidence to support the optimal treatment sequencing with fedratinib with available treatments for myelofibrosis (i.e., hydroxyurea, ruxolitinib):</w:t>
      </w:r>
    </w:p>
    <w:p w14:paraId="21B7D21C" w14:textId="77777777" w:rsidR="005F211E" w:rsidRPr="005F211E" w:rsidRDefault="005F211E" w:rsidP="005F211E">
      <w:pPr>
        <w:pStyle w:val="ListParagraph"/>
        <w:numPr>
          <w:ilvl w:val="1"/>
          <w:numId w:val="42"/>
        </w:numPr>
        <w:rPr>
          <w:rFonts w:ascii="Arial" w:eastAsia="Times New Roman" w:hAnsi="Arial" w:cs="Arial"/>
          <w:b/>
          <w:sz w:val="18"/>
          <w:szCs w:val="18"/>
        </w:rPr>
      </w:pPr>
      <w:r w:rsidRPr="005F211E">
        <w:rPr>
          <w:rFonts w:ascii="Arial" w:eastAsia="Times New Roman" w:hAnsi="Arial" w:cs="Arial"/>
          <w:b/>
          <w:sz w:val="18"/>
          <w:szCs w:val="18"/>
        </w:rPr>
        <w:t>Is there a preference to use fedratinib as an additional option (in the first-line setting as a replacement to ruxolitinib) or an additional line of therapy (following ruxolitinib treatment)?</w:t>
      </w:r>
    </w:p>
    <w:p w14:paraId="3E81EE8A" w14:textId="77777777" w:rsidR="005F211E" w:rsidRPr="005F211E" w:rsidRDefault="005F211E" w:rsidP="005F211E">
      <w:pPr>
        <w:pStyle w:val="ListParagraph"/>
        <w:numPr>
          <w:ilvl w:val="1"/>
          <w:numId w:val="42"/>
        </w:numPr>
        <w:rPr>
          <w:rFonts w:ascii="Arial" w:eastAsia="Times New Roman" w:hAnsi="Arial" w:cs="Arial"/>
          <w:b/>
          <w:sz w:val="18"/>
          <w:szCs w:val="18"/>
        </w:rPr>
      </w:pPr>
      <w:r w:rsidRPr="005F211E">
        <w:rPr>
          <w:rFonts w:ascii="Arial" w:eastAsia="Times New Roman" w:hAnsi="Arial" w:cs="Arial"/>
          <w:b/>
          <w:sz w:val="18"/>
          <w:szCs w:val="18"/>
        </w:rPr>
        <w:t>In what clinical scenarios would ruxolitinib or fedratinib be the preferred first-line treatment for intermediate myelofibrosis? Please comment on the preference considering patient preference, efficacy, safety, and administration.</w:t>
      </w:r>
    </w:p>
    <w:p w14:paraId="35DB63AF" w14:textId="2478848E" w:rsidR="005F211E" w:rsidRPr="005F211E" w:rsidRDefault="005F211E" w:rsidP="005F211E">
      <w:pPr>
        <w:pStyle w:val="ListParagraph"/>
        <w:numPr>
          <w:ilvl w:val="1"/>
          <w:numId w:val="42"/>
        </w:numPr>
        <w:rPr>
          <w:rFonts w:ascii="Arial" w:eastAsia="Times New Roman" w:hAnsi="Arial" w:cs="Arial"/>
          <w:b/>
          <w:sz w:val="18"/>
          <w:szCs w:val="18"/>
        </w:rPr>
      </w:pPr>
      <w:r w:rsidRPr="005F211E">
        <w:rPr>
          <w:rFonts w:ascii="Arial" w:eastAsia="Times New Roman" w:hAnsi="Arial" w:cs="Arial"/>
          <w:b/>
          <w:sz w:val="18"/>
          <w:szCs w:val="18"/>
        </w:rPr>
        <w:t>What are the available treatment options following progression on fedratinib (e.g., ruxolitinib)?</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4A9E0032" w14:textId="28BA0756"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7"/>
    </w:p>
    <w:p w14:paraId="07727B37" w14:textId="4D0FF1D9" w:rsidR="00912B81" w:rsidRPr="000635BE" w:rsidRDefault="006B2DFA" w:rsidP="000635BE">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06F357D" w14:textId="77777777" w:rsidTr="00EB0EEF">
        <w:tc>
          <w:tcPr>
            <w:tcW w:w="10166"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8"/>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5ECC9E32" w14:textId="19A8EB64" w:rsidR="000A56A6" w:rsidRDefault="00364061" w:rsidP="000635BE">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r w:rsidR="003B1E52" w:rsidRPr="00912B81">
        <w:rPr>
          <w:rFonts w:ascii="Arial" w:hAnsi="Arial" w:cs="Arial"/>
          <w:sz w:val="18"/>
        </w:rPr>
        <w:t>if and when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p w14:paraId="005B2B35" w14:textId="1F49BF91" w:rsidR="005F211E" w:rsidRPr="005F211E" w:rsidRDefault="005F211E" w:rsidP="005F211E">
      <w:pPr>
        <w:pStyle w:val="pCODR1Body"/>
        <w:numPr>
          <w:ilvl w:val="1"/>
          <w:numId w:val="53"/>
        </w:numPr>
        <w:spacing w:line="276" w:lineRule="auto"/>
        <w:rPr>
          <w:rFonts w:ascii="Arial" w:hAnsi="Arial" w:cs="Arial"/>
          <w:b/>
          <w:sz w:val="18"/>
        </w:rPr>
      </w:pPr>
      <w:r w:rsidRPr="005F211E">
        <w:rPr>
          <w:rFonts w:ascii="Arial" w:hAnsi="Arial" w:cs="Arial"/>
          <w:b/>
          <w:sz w:val="18"/>
        </w:rPr>
        <w:t>In the JAKARTA trial, encephalopathy was reported with treatment with fedratinib at 500 mg daily. Is there evidence to support in clinical practice, whether there is a patient population that is at higher risk of developing encephalopathy, for whom fedratinib should not be used?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434FDC" w:rsidRPr="000A56A6" w14:paraId="73A55436" w14:textId="77777777" w:rsidTr="00860375">
        <w:trPr>
          <w:trHeight w:val="197"/>
        </w:trPr>
        <w:tc>
          <w:tcPr>
            <w:tcW w:w="10346"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541E05CD" w14:textId="77777777" w:rsidR="005F211E" w:rsidRDefault="005F211E" w:rsidP="005F211E">
      <w:pPr>
        <w:pStyle w:val="pCODR1Body"/>
        <w:numPr>
          <w:ilvl w:val="1"/>
          <w:numId w:val="53"/>
        </w:numPr>
        <w:spacing w:after="0" w:line="276" w:lineRule="auto"/>
        <w:rPr>
          <w:rFonts w:ascii="Arial" w:hAnsi="Arial" w:cs="Arial"/>
          <w:b/>
          <w:sz w:val="18"/>
        </w:rPr>
      </w:pPr>
      <w:bookmarkStart w:id="9" w:name="_Toc439923603"/>
      <w:r w:rsidRPr="005F211E">
        <w:rPr>
          <w:rFonts w:ascii="Arial" w:hAnsi="Arial" w:cs="Arial"/>
          <w:b/>
          <w:sz w:val="18"/>
        </w:rPr>
        <w:t>The JAKARTA trial allowed treatment with fedratinib until disease progression or unacceptable toxicity. Patients were assessed at 6 months to determine response to therapy. In clinical practice, is there evidence to support:</w:t>
      </w:r>
    </w:p>
    <w:p w14:paraId="22F6CC8E" w14:textId="77777777" w:rsidR="005F211E" w:rsidRDefault="005F211E" w:rsidP="005F211E">
      <w:pPr>
        <w:pStyle w:val="pCODR1Body"/>
        <w:numPr>
          <w:ilvl w:val="0"/>
          <w:numId w:val="54"/>
        </w:numPr>
        <w:spacing w:after="0" w:line="276" w:lineRule="auto"/>
        <w:rPr>
          <w:rFonts w:ascii="Arial" w:hAnsi="Arial" w:cs="Arial"/>
          <w:b/>
          <w:sz w:val="18"/>
        </w:rPr>
      </w:pPr>
      <w:r w:rsidRPr="005F211E">
        <w:rPr>
          <w:rFonts w:ascii="Arial" w:hAnsi="Arial" w:cs="Arial"/>
          <w:b/>
          <w:sz w:val="18"/>
        </w:rPr>
        <w:t xml:space="preserve">What treatment discontinuation criteria would be used? </w:t>
      </w:r>
    </w:p>
    <w:p w14:paraId="4F9E2C89" w14:textId="77777777" w:rsidR="005F211E" w:rsidRDefault="005F211E" w:rsidP="005F211E">
      <w:pPr>
        <w:pStyle w:val="pCODR1Body"/>
        <w:numPr>
          <w:ilvl w:val="0"/>
          <w:numId w:val="54"/>
        </w:numPr>
        <w:spacing w:after="0" w:line="276" w:lineRule="auto"/>
        <w:rPr>
          <w:rFonts w:ascii="Arial" w:hAnsi="Arial" w:cs="Arial"/>
          <w:b/>
          <w:sz w:val="18"/>
        </w:rPr>
      </w:pPr>
      <w:r w:rsidRPr="005F211E">
        <w:rPr>
          <w:rFonts w:ascii="Arial" w:hAnsi="Arial" w:cs="Arial"/>
          <w:b/>
          <w:sz w:val="18"/>
        </w:rPr>
        <w:lastRenderedPageBreak/>
        <w:t xml:space="preserve">What assessment score tool is currently used to determine response to treatment (i.e., does this align with what was used in the JAKARTA trial)? What assessment score tool is recommended to determine response to treatment? </w:t>
      </w:r>
    </w:p>
    <w:p w14:paraId="1D8F9F4E" w14:textId="3E0FA589" w:rsidR="005F211E" w:rsidRPr="005F211E" w:rsidRDefault="005F211E" w:rsidP="005F211E">
      <w:pPr>
        <w:pStyle w:val="pCODR1Body"/>
        <w:numPr>
          <w:ilvl w:val="0"/>
          <w:numId w:val="54"/>
        </w:numPr>
        <w:spacing w:after="0" w:line="276" w:lineRule="auto"/>
        <w:rPr>
          <w:rFonts w:ascii="Arial" w:hAnsi="Arial" w:cs="Arial"/>
          <w:b/>
          <w:sz w:val="18"/>
        </w:rPr>
      </w:pPr>
      <w:r w:rsidRPr="005F211E">
        <w:rPr>
          <w:rFonts w:ascii="Arial" w:hAnsi="Arial" w:cs="Arial"/>
          <w:b/>
          <w:sz w:val="18"/>
        </w:rPr>
        <w:t>What is the recommended frequency of scans to determine response?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5F211E" w:rsidRPr="000A56A6" w14:paraId="6F31EEDF" w14:textId="77777777" w:rsidTr="00562E93">
        <w:trPr>
          <w:trHeight w:val="197"/>
        </w:trPr>
        <w:tc>
          <w:tcPr>
            <w:tcW w:w="10346" w:type="dxa"/>
          </w:tcPr>
          <w:p w14:paraId="62EB1282" w14:textId="77777777" w:rsidR="005F211E" w:rsidRPr="000A56A6" w:rsidRDefault="005F211E" w:rsidP="00562E93">
            <w:pPr>
              <w:pStyle w:val="pCODR01AppendixHeader"/>
              <w:spacing w:before="0" w:after="0"/>
              <w:rPr>
                <w:rFonts w:ascii="Arial" w:hAnsi="Arial" w:cs="Arial"/>
                <w:spacing w:val="0"/>
              </w:rPr>
            </w:pPr>
          </w:p>
        </w:tc>
      </w:tr>
    </w:tbl>
    <w:p w14:paraId="4F304C48" w14:textId="77777777" w:rsidR="00F60A6E" w:rsidRDefault="00F60A6E">
      <w:pPr>
        <w:rPr>
          <w:rFonts w:ascii="Arial" w:eastAsia="Times New Roman" w:hAnsi="Arial" w:cs="Arial"/>
          <w:b/>
          <w:color w:val="0067B9"/>
          <w:sz w:val="24"/>
          <w:szCs w:val="28"/>
        </w:rPr>
      </w:pPr>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44182B3F" w14:textId="77777777" w:rsidR="00551DF3" w:rsidRPr="00551DF3" w:rsidRDefault="00551DF3" w:rsidP="00551DF3">
      <w:pPr>
        <w:pStyle w:val="pCODR1Body"/>
        <w:numPr>
          <w:ilvl w:val="0"/>
          <w:numId w:val="40"/>
        </w:numPr>
        <w:ind w:left="360"/>
        <w:rPr>
          <w:rFonts w:ascii="Arial" w:hAnsi="Arial" w:cs="Arial"/>
          <w:sz w:val="18"/>
          <w:szCs w:val="18"/>
        </w:rPr>
      </w:pPr>
      <w:r w:rsidRPr="00551DF3">
        <w:rPr>
          <w:rFonts w:ascii="Arial" w:hAnsi="Arial" w:cs="Arial"/>
          <w:sz w:val="18"/>
          <w:szCs w:val="18"/>
        </w:rPr>
        <w:t>Please provide the names of companies and organizations, and the amounts of the payments, in the following table.</w:t>
      </w:r>
    </w:p>
    <w:tbl>
      <w:tblPr>
        <w:tblStyle w:val="TableGrid1"/>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551DF3" w:rsidRPr="00551DF3" w14:paraId="4E242BF0" w14:textId="77777777" w:rsidTr="00A37B00">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6E3FF57D" w14:textId="77777777" w:rsidR="00551DF3" w:rsidRPr="00551DF3" w:rsidRDefault="00551DF3" w:rsidP="00551DF3">
            <w:pPr>
              <w:spacing w:before="40" w:afterLines="40" w:after="96"/>
              <w:rPr>
                <w:rFonts w:ascii="Arial" w:eastAsiaTheme="minorHAnsi" w:hAnsi="Arial" w:cs="Arial"/>
                <w:b/>
                <w:color w:val="FFFFFF" w:themeColor="background1"/>
                <w:sz w:val="18"/>
                <w:szCs w:val="18"/>
                <w:lang w:eastAsia="en-US"/>
              </w:rPr>
            </w:pPr>
            <w:r w:rsidRPr="00551DF3">
              <w:rPr>
                <w:rFonts w:ascii="Arial" w:eastAsiaTheme="minorHAnsi" w:hAnsi="Arial" w:cs="Arial"/>
                <w:b/>
                <w:color w:val="FFFFFF" w:themeColor="background1"/>
                <w:sz w:val="18"/>
                <w:szCs w:val="18"/>
                <w:lang w:eastAsia="en-US"/>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26B9A1F1" w14:textId="77777777" w:rsidR="00551DF3" w:rsidRPr="00551DF3" w:rsidRDefault="00551DF3" w:rsidP="00551DF3">
            <w:pPr>
              <w:spacing w:before="40" w:afterLines="40" w:after="96"/>
              <w:rPr>
                <w:rFonts w:ascii="Arial" w:eastAsiaTheme="minorHAnsi" w:hAnsi="Arial" w:cs="Arial"/>
                <w:b/>
                <w:color w:val="FFFFFF" w:themeColor="background1"/>
                <w:sz w:val="18"/>
                <w:szCs w:val="18"/>
                <w:lang w:eastAsia="en-US"/>
              </w:rPr>
            </w:pPr>
            <w:r w:rsidRPr="00551DF3">
              <w:rPr>
                <w:rFonts w:ascii="Arial" w:eastAsiaTheme="minorHAnsi" w:hAnsi="Arial" w:cs="Arial"/>
                <w:b/>
                <w:color w:val="FFFFFF" w:themeColor="background1"/>
                <w:sz w:val="18"/>
                <w:szCs w:val="18"/>
                <w:lang w:eastAsia="en-US"/>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3A8652D3" w14:textId="77777777" w:rsidR="00551DF3" w:rsidRPr="00551DF3" w:rsidRDefault="00551DF3" w:rsidP="00551DF3">
            <w:pPr>
              <w:spacing w:before="40" w:afterLines="40" w:after="96"/>
              <w:jc w:val="center"/>
              <w:rPr>
                <w:rFonts w:ascii="Arial" w:eastAsiaTheme="minorHAnsi" w:hAnsi="Arial" w:cs="Arial"/>
                <w:b/>
                <w:color w:val="FFFFFF" w:themeColor="background1"/>
                <w:sz w:val="18"/>
                <w:szCs w:val="18"/>
                <w:lang w:eastAsia="en-US"/>
              </w:rPr>
            </w:pPr>
            <w:r w:rsidRPr="00551DF3">
              <w:rPr>
                <w:rFonts w:ascii="Arial" w:eastAsiaTheme="minorHAnsi" w:hAnsi="Arial" w:cs="Arial"/>
                <w:b/>
                <w:color w:val="FFFFFF" w:themeColor="background1"/>
                <w:sz w:val="18"/>
                <w:szCs w:val="18"/>
                <w:lang w:eastAsia="en-US"/>
              </w:rPr>
              <w:t>Check Appropriate Dollar Range</w:t>
            </w:r>
          </w:p>
        </w:tc>
      </w:tr>
      <w:tr w:rsidR="00551DF3" w:rsidRPr="00551DF3" w14:paraId="1F0031E4" w14:textId="77777777" w:rsidTr="00A37B00">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5CB6745F" w14:textId="77777777" w:rsidR="00551DF3" w:rsidRPr="00551DF3" w:rsidRDefault="00551DF3" w:rsidP="00551DF3">
            <w:pPr>
              <w:spacing w:after="200"/>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5E9B46B6" w14:textId="77777777" w:rsidR="00551DF3" w:rsidRPr="00551DF3" w:rsidRDefault="00551DF3" w:rsidP="00551DF3">
            <w:pPr>
              <w:spacing w:before="40" w:afterLines="40" w:after="96"/>
              <w:rPr>
                <w:rFonts w:ascii="Arial" w:eastAsiaTheme="minorHAnsi" w:hAnsi="Arial" w:cs="Arial"/>
                <w:b/>
                <w:color w:val="FFFFFF" w:themeColor="background1"/>
                <w:sz w:val="18"/>
                <w:szCs w:val="18"/>
                <w:lang w:eastAsia="en-US"/>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5F4AB08" w14:textId="77777777" w:rsidR="00551DF3" w:rsidRPr="00551DF3" w:rsidRDefault="00551DF3" w:rsidP="00551DF3">
            <w:pPr>
              <w:spacing w:before="40" w:afterLines="40" w:after="96"/>
              <w:rPr>
                <w:rFonts w:ascii="Arial" w:eastAsiaTheme="minorHAnsi" w:hAnsi="Arial" w:cs="Arial"/>
                <w:b/>
                <w:color w:val="FFFFFF" w:themeColor="background1"/>
                <w:sz w:val="18"/>
                <w:szCs w:val="18"/>
                <w:lang w:eastAsia="en-US"/>
              </w:rPr>
            </w:pPr>
            <w:r w:rsidRPr="00551DF3">
              <w:rPr>
                <w:rFonts w:ascii="Arial" w:eastAsiaTheme="minorHAnsi" w:hAnsi="Arial" w:cs="Arial"/>
                <w:b/>
                <w:color w:val="FFFFFF" w:themeColor="background1"/>
                <w:sz w:val="18"/>
                <w:szCs w:val="18"/>
                <w:lang w:eastAsia="en-US"/>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16520F80" w14:textId="77777777" w:rsidR="00551DF3" w:rsidRPr="00551DF3" w:rsidRDefault="00551DF3" w:rsidP="00551DF3">
            <w:pPr>
              <w:spacing w:before="40" w:afterLines="40" w:after="96"/>
              <w:rPr>
                <w:rFonts w:ascii="Arial" w:eastAsiaTheme="minorHAnsi" w:hAnsi="Arial" w:cs="Arial"/>
                <w:b/>
                <w:color w:val="FFFFFF" w:themeColor="background1"/>
                <w:sz w:val="18"/>
                <w:szCs w:val="18"/>
                <w:lang w:eastAsia="en-US"/>
              </w:rPr>
            </w:pPr>
            <w:r w:rsidRPr="00551DF3">
              <w:rPr>
                <w:rFonts w:ascii="Arial" w:eastAsiaTheme="minorHAnsi" w:hAnsi="Arial" w:cs="Arial"/>
                <w:b/>
                <w:color w:val="FFFFFF" w:themeColor="background1"/>
                <w:sz w:val="18"/>
                <w:szCs w:val="18"/>
                <w:lang w:eastAsia="en-US"/>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652960D0" w14:textId="77777777" w:rsidR="00551DF3" w:rsidRPr="00551DF3" w:rsidRDefault="00551DF3" w:rsidP="00551DF3">
            <w:pPr>
              <w:spacing w:before="40" w:afterLines="40" w:after="96"/>
              <w:rPr>
                <w:rFonts w:ascii="Arial" w:eastAsiaTheme="minorHAnsi" w:hAnsi="Arial" w:cs="Arial"/>
                <w:b/>
                <w:color w:val="FFFFFF" w:themeColor="background1"/>
                <w:sz w:val="18"/>
                <w:szCs w:val="18"/>
                <w:lang w:eastAsia="en-US"/>
              </w:rPr>
            </w:pPr>
            <w:r w:rsidRPr="00551DF3">
              <w:rPr>
                <w:rFonts w:ascii="Arial" w:eastAsiaTheme="minorHAnsi" w:hAnsi="Arial" w:cs="Arial"/>
                <w:b/>
                <w:color w:val="FFFFFF" w:themeColor="background1"/>
                <w:sz w:val="18"/>
                <w:szCs w:val="18"/>
                <w:lang w:eastAsia="en-US"/>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7F73F80E" w14:textId="77777777" w:rsidR="00551DF3" w:rsidRPr="00551DF3" w:rsidRDefault="00551DF3" w:rsidP="00551DF3">
            <w:pPr>
              <w:spacing w:before="40" w:afterLines="40" w:after="96"/>
              <w:rPr>
                <w:rFonts w:ascii="Arial" w:eastAsiaTheme="minorHAnsi" w:hAnsi="Arial" w:cs="Arial"/>
                <w:b/>
                <w:color w:val="FFFFFF" w:themeColor="background1"/>
                <w:sz w:val="18"/>
                <w:szCs w:val="18"/>
                <w:lang w:eastAsia="en-US"/>
              </w:rPr>
            </w:pPr>
            <w:r w:rsidRPr="00551DF3">
              <w:rPr>
                <w:rFonts w:ascii="Arial" w:eastAsiaTheme="minorHAnsi" w:hAnsi="Arial" w:cs="Arial"/>
                <w:b/>
                <w:color w:val="FFFFFF" w:themeColor="background1"/>
                <w:sz w:val="18"/>
                <w:szCs w:val="18"/>
                <w:lang w:eastAsia="en-US"/>
              </w:rPr>
              <w:t>In Excess of $50,000</w:t>
            </w:r>
          </w:p>
        </w:tc>
      </w:tr>
      <w:tr w:rsidR="00551DF3" w:rsidRPr="00551DF3" w14:paraId="4A088638"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6586B498" w14:textId="77777777" w:rsidR="00551DF3" w:rsidRPr="00551DF3" w:rsidRDefault="00551DF3" w:rsidP="00551DF3">
            <w:pPr>
              <w:spacing w:before="40" w:after="40"/>
              <w:rPr>
                <w:rFonts w:ascii="Arial" w:eastAsiaTheme="minorHAnsi" w:hAnsi="Arial" w:cs="Arial"/>
                <w:sz w:val="18"/>
                <w:szCs w:val="18"/>
                <w:lang w:eastAsia="en-US"/>
              </w:rPr>
            </w:pPr>
          </w:p>
        </w:tc>
        <w:tc>
          <w:tcPr>
            <w:tcW w:w="4120" w:type="dxa"/>
            <w:tcBorders>
              <w:top w:val="single" w:sz="4" w:space="0" w:color="0067B9"/>
              <w:left w:val="single" w:sz="4" w:space="0" w:color="0067B9"/>
              <w:bottom w:val="single" w:sz="4" w:space="0" w:color="0067B9"/>
              <w:right w:val="single" w:sz="4" w:space="0" w:color="0067B9"/>
            </w:tcBorders>
          </w:tcPr>
          <w:p w14:paraId="7BCB10F8" w14:textId="77777777" w:rsidR="00551DF3" w:rsidRPr="00551DF3" w:rsidRDefault="00551DF3" w:rsidP="00551DF3">
            <w:pPr>
              <w:spacing w:before="40" w:after="40"/>
              <w:rPr>
                <w:rFonts w:ascii="Arial" w:eastAsiaTheme="minorHAnsi" w:hAnsi="Arial" w:cs="Arial"/>
                <w:sz w:val="18"/>
                <w:szCs w:val="18"/>
                <w:lang w:eastAsia="en-US"/>
              </w:rPr>
            </w:pPr>
          </w:p>
        </w:tc>
        <w:tc>
          <w:tcPr>
            <w:tcW w:w="1055" w:type="dxa"/>
            <w:tcBorders>
              <w:top w:val="single" w:sz="4" w:space="0" w:color="0067B9"/>
              <w:left w:val="single" w:sz="4" w:space="0" w:color="0067B9"/>
              <w:bottom w:val="single" w:sz="4" w:space="0" w:color="0067B9"/>
              <w:right w:val="single" w:sz="4" w:space="0" w:color="0067B9"/>
            </w:tcBorders>
          </w:tcPr>
          <w:p w14:paraId="3856ED8F" w14:textId="77777777" w:rsidR="00551DF3" w:rsidRPr="00551DF3" w:rsidRDefault="00FC779D" w:rsidP="00551DF3">
            <w:pPr>
              <w:autoSpaceDE w:val="0"/>
              <w:autoSpaceDN w:val="0"/>
              <w:adjustRightInd w:val="0"/>
              <w:jc w:val="center"/>
              <w:rPr>
                <w:rFonts w:ascii="Arial" w:eastAsia="SimSun" w:hAnsi="Arial" w:cs="Arial"/>
                <w:color w:val="000000"/>
                <w:sz w:val="18"/>
                <w:szCs w:val="18"/>
                <w:lang w:val="en-US" w:eastAsia="zh-CN"/>
              </w:rPr>
            </w:pPr>
            <w:sdt>
              <w:sdtPr>
                <w:rPr>
                  <w:rFonts w:ascii="Arial" w:hAnsi="Arial" w:cs="Arial"/>
                  <w:color w:val="000000"/>
                  <w:sz w:val="18"/>
                  <w:szCs w:val="18"/>
                  <w:lang w:val="en-US"/>
                </w:rPr>
                <w:id w:val="968476692"/>
                <w14:checkbox>
                  <w14:checked w14:val="0"/>
                  <w14:checkedState w14:val="2612" w14:font="MS Gothic"/>
                  <w14:uncheckedState w14:val="2610" w14:font="MS Gothic"/>
                </w14:checkbox>
              </w:sdtPr>
              <w:sdtEndPr/>
              <w:sdtContent>
                <w:r w:rsidR="00551DF3" w:rsidRPr="00551DF3">
                  <w:rPr>
                    <w:rFonts w:ascii="Arial" w:eastAsia="MS Gothic" w:hAnsi="Arial" w:cs="Arial" w:hint="eastAsia"/>
                    <w:color w:val="000000"/>
                    <w:sz w:val="18"/>
                    <w:szCs w:val="18"/>
                    <w:lang w:val="en-US" w:eastAsia="en-US"/>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9E45D57" w14:textId="77777777" w:rsidR="00551DF3" w:rsidRPr="00551DF3" w:rsidRDefault="00FC779D" w:rsidP="00551DF3">
            <w:pPr>
              <w:spacing w:before="40" w:after="40"/>
              <w:jc w:val="center"/>
              <w:rPr>
                <w:rFonts w:ascii="Arial" w:eastAsiaTheme="minorHAnsi" w:hAnsi="Arial" w:cs="Arial"/>
                <w:sz w:val="18"/>
                <w:szCs w:val="18"/>
                <w:lang w:eastAsia="en-US"/>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551DF3" w:rsidRPr="00551DF3">
                  <w:rPr>
                    <w:rFonts w:ascii="Segoe UI Symbol" w:eastAsiaTheme="minorHAnsi" w:hAnsi="Segoe UI Symbol" w:cs="Segoe UI Symbol"/>
                    <w:sz w:val="18"/>
                    <w:szCs w:val="18"/>
                    <w:lang w:eastAsia="en-US"/>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48DDBD01" w14:textId="77777777" w:rsidR="00551DF3" w:rsidRPr="00551DF3" w:rsidRDefault="00FC779D" w:rsidP="00551DF3">
            <w:pPr>
              <w:spacing w:before="40" w:after="40"/>
              <w:jc w:val="center"/>
              <w:rPr>
                <w:rFonts w:ascii="Arial" w:eastAsiaTheme="minorHAnsi" w:hAnsi="Arial" w:cs="Arial"/>
                <w:sz w:val="18"/>
                <w:szCs w:val="18"/>
                <w:lang w:eastAsia="en-US"/>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551DF3" w:rsidRPr="00551DF3">
                  <w:rPr>
                    <w:rFonts w:ascii="Segoe UI Symbol" w:eastAsiaTheme="minorHAnsi" w:hAnsi="Segoe UI Symbol" w:cs="Segoe UI Symbol"/>
                    <w:sz w:val="18"/>
                    <w:szCs w:val="18"/>
                    <w:lang w:eastAsia="en-US"/>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7DA8A680" w14:textId="77777777" w:rsidR="00551DF3" w:rsidRPr="00551DF3" w:rsidRDefault="00FC779D" w:rsidP="00551DF3">
            <w:pPr>
              <w:spacing w:before="40" w:after="40"/>
              <w:jc w:val="center"/>
              <w:rPr>
                <w:rFonts w:ascii="Arial" w:eastAsiaTheme="minorHAnsi" w:hAnsi="Arial" w:cs="Arial"/>
                <w:sz w:val="18"/>
                <w:szCs w:val="18"/>
                <w:lang w:eastAsia="en-US"/>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551DF3" w:rsidRPr="00551DF3">
                  <w:rPr>
                    <w:rFonts w:ascii="Segoe UI Symbol" w:eastAsiaTheme="minorHAnsi" w:hAnsi="Segoe UI Symbol" w:cs="Segoe UI Symbol"/>
                    <w:sz w:val="18"/>
                    <w:szCs w:val="18"/>
                    <w:lang w:eastAsia="en-US"/>
                  </w:rPr>
                  <w:t>☐</w:t>
                </w:r>
              </w:sdtContent>
            </w:sdt>
          </w:p>
        </w:tc>
      </w:tr>
      <w:tr w:rsidR="00551DF3" w:rsidRPr="00551DF3" w14:paraId="6F5A8DEA"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4411E6CA" w14:textId="77777777" w:rsidR="00551DF3" w:rsidRPr="00551DF3" w:rsidRDefault="00551DF3" w:rsidP="00551DF3">
            <w:pPr>
              <w:spacing w:before="40" w:after="40"/>
              <w:rPr>
                <w:rFonts w:ascii="Arial" w:eastAsiaTheme="minorHAnsi" w:hAnsi="Arial" w:cs="Arial"/>
                <w:sz w:val="18"/>
                <w:szCs w:val="18"/>
                <w:lang w:eastAsia="en-US"/>
              </w:rPr>
            </w:pPr>
          </w:p>
        </w:tc>
        <w:tc>
          <w:tcPr>
            <w:tcW w:w="4120" w:type="dxa"/>
            <w:tcBorders>
              <w:top w:val="single" w:sz="4" w:space="0" w:color="0067B9"/>
              <w:left w:val="single" w:sz="4" w:space="0" w:color="0067B9"/>
              <w:bottom w:val="single" w:sz="4" w:space="0" w:color="0067B9"/>
              <w:right w:val="single" w:sz="4" w:space="0" w:color="0067B9"/>
            </w:tcBorders>
          </w:tcPr>
          <w:p w14:paraId="7DCFA20E" w14:textId="77777777" w:rsidR="00551DF3" w:rsidRPr="00551DF3" w:rsidRDefault="00551DF3" w:rsidP="00551DF3">
            <w:pPr>
              <w:spacing w:before="40" w:after="40"/>
              <w:rPr>
                <w:rFonts w:ascii="Arial" w:eastAsiaTheme="minorHAnsi" w:hAnsi="Arial" w:cs="Arial"/>
                <w:sz w:val="18"/>
                <w:szCs w:val="18"/>
                <w:lang w:eastAsia="en-US"/>
              </w:rPr>
            </w:pPr>
          </w:p>
        </w:tc>
        <w:tc>
          <w:tcPr>
            <w:tcW w:w="1055" w:type="dxa"/>
            <w:tcBorders>
              <w:top w:val="single" w:sz="4" w:space="0" w:color="0067B9"/>
              <w:left w:val="single" w:sz="4" w:space="0" w:color="0067B9"/>
              <w:bottom w:val="single" w:sz="4" w:space="0" w:color="0067B9"/>
              <w:right w:val="single" w:sz="4" w:space="0" w:color="0067B9"/>
            </w:tcBorders>
          </w:tcPr>
          <w:p w14:paraId="2188E8A7" w14:textId="77777777" w:rsidR="00551DF3" w:rsidRPr="00551DF3" w:rsidRDefault="00FC779D" w:rsidP="00551DF3">
            <w:pPr>
              <w:spacing w:before="40" w:after="40"/>
              <w:jc w:val="center"/>
              <w:rPr>
                <w:rFonts w:ascii="Arial" w:eastAsiaTheme="minorHAnsi" w:hAnsi="Arial" w:cs="Arial"/>
                <w:sz w:val="18"/>
                <w:szCs w:val="18"/>
                <w:lang w:eastAsia="en-US"/>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551DF3" w:rsidRPr="00551DF3">
                  <w:rPr>
                    <w:rFonts w:ascii="Segoe UI Symbol" w:eastAsiaTheme="minorHAnsi" w:hAnsi="Segoe UI Symbol" w:cs="Segoe UI Symbol"/>
                    <w:sz w:val="18"/>
                    <w:szCs w:val="18"/>
                    <w:lang w:eastAsia="en-US"/>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1C5201FF" w14:textId="77777777" w:rsidR="00551DF3" w:rsidRPr="00551DF3" w:rsidRDefault="00FC779D" w:rsidP="00551DF3">
            <w:pPr>
              <w:spacing w:before="40" w:after="40"/>
              <w:jc w:val="center"/>
              <w:rPr>
                <w:rFonts w:ascii="Arial" w:eastAsiaTheme="minorHAnsi" w:hAnsi="Arial" w:cs="Arial"/>
                <w:sz w:val="18"/>
                <w:szCs w:val="18"/>
                <w:lang w:eastAsia="en-US"/>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551DF3" w:rsidRPr="00551DF3">
                  <w:rPr>
                    <w:rFonts w:ascii="Segoe UI Symbol" w:eastAsiaTheme="minorHAnsi" w:hAnsi="Segoe UI Symbol" w:cs="Segoe UI Symbol"/>
                    <w:sz w:val="18"/>
                    <w:szCs w:val="18"/>
                    <w:lang w:eastAsia="en-US"/>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11235760" w14:textId="77777777" w:rsidR="00551DF3" w:rsidRPr="00551DF3" w:rsidRDefault="00FC779D" w:rsidP="00551DF3">
            <w:pPr>
              <w:spacing w:before="40" w:after="40"/>
              <w:jc w:val="center"/>
              <w:rPr>
                <w:rFonts w:ascii="Arial" w:eastAsiaTheme="minorHAnsi" w:hAnsi="Arial" w:cs="Arial"/>
                <w:sz w:val="18"/>
                <w:szCs w:val="18"/>
                <w:lang w:eastAsia="en-US"/>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551DF3" w:rsidRPr="00551DF3">
                  <w:rPr>
                    <w:rFonts w:ascii="Segoe UI Symbol" w:eastAsiaTheme="minorHAnsi" w:hAnsi="Segoe UI Symbol" w:cs="Segoe UI Symbol"/>
                    <w:sz w:val="18"/>
                    <w:szCs w:val="18"/>
                    <w:lang w:eastAsia="en-US"/>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13DBB925" w14:textId="77777777" w:rsidR="00551DF3" w:rsidRPr="00551DF3" w:rsidRDefault="00FC779D" w:rsidP="00551DF3">
            <w:pPr>
              <w:spacing w:before="40" w:after="40"/>
              <w:jc w:val="center"/>
              <w:rPr>
                <w:rFonts w:ascii="Arial" w:eastAsiaTheme="minorHAnsi" w:hAnsi="Arial" w:cs="Arial"/>
                <w:sz w:val="18"/>
                <w:szCs w:val="18"/>
                <w:lang w:eastAsia="en-US"/>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551DF3" w:rsidRPr="00551DF3">
                  <w:rPr>
                    <w:rFonts w:ascii="Segoe UI Symbol" w:eastAsiaTheme="minorHAnsi" w:hAnsi="Segoe UI Symbol" w:cs="Segoe UI Symbol"/>
                    <w:sz w:val="18"/>
                    <w:szCs w:val="18"/>
                    <w:lang w:eastAsia="en-US"/>
                  </w:rPr>
                  <w:t>☐</w:t>
                </w:r>
              </w:sdtContent>
            </w:sdt>
          </w:p>
        </w:tc>
      </w:tr>
      <w:tr w:rsidR="00551DF3" w:rsidRPr="00551DF3" w14:paraId="25C81967"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0003432C" w14:textId="77777777" w:rsidR="00551DF3" w:rsidRPr="00551DF3" w:rsidRDefault="00551DF3" w:rsidP="00551DF3">
            <w:pPr>
              <w:spacing w:before="40" w:after="40"/>
              <w:rPr>
                <w:rFonts w:ascii="Arial" w:eastAsiaTheme="minorHAnsi" w:hAnsi="Arial" w:cs="Arial"/>
                <w:sz w:val="18"/>
                <w:szCs w:val="18"/>
                <w:lang w:eastAsia="en-US"/>
              </w:rPr>
            </w:pPr>
          </w:p>
        </w:tc>
        <w:tc>
          <w:tcPr>
            <w:tcW w:w="4120" w:type="dxa"/>
            <w:tcBorders>
              <w:top w:val="single" w:sz="4" w:space="0" w:color="0067B9"/>
              <w:left w:val="single" w:sz="4" w:space="0" w:color="0067B9"/>
              <w:bottom w:val="single" w:sz="4" w:space="0" w:color="0067B9"/>
              <w:right w:val="single" w:sz="4" w:space="0" w:color="0067B9"/>
            </w:tcBorders>
          </w:tcPr>
          <w:p w14:paraId="18349786" w14:textId="77777777" w:rsidR="00551DF3" w:rsidRPr="00551DF3" w:rsidRDefault="00551DF3" w:rsidP="00551DF3">
            <w:pPr>
              <w:spacing w:before="40" w:after="40"/>
              <w:rPr>
                <w:rFonts w:ascii="Arial" w:eastAsiaTheme="minorHAnsi" w:hAnsi="Arial" w:cs="Arial"/>
                <w:sz w:val="18"/>
                <w:szCs w:val="18"/>
                <w:lang w:eastAsia="en-US"/>
              </w:rPr>
            </w:pPr>
          </w:p>
        </w:tc>
        <w:tc>
          <w:tcPr>
            <w:tcW w:w="1055" w:type="dxa"/>
            <w:tcBorders>
              <w:top w:val="single" w:sz="4" w:space="0" w:color="0067B9"/>
              <w:left w:val="single" w:sz="4" w:space="0" w:color="0067B9"/>
              <w:bottom w:val="single" w:sz="4" w:space="0" w:color="0067B9"/>
              <w:right w:val="single" w:sz="4" w:space="0" w:color="0067B9"/>
            </w:tcBorders>
          </w:tcPr>
          <w:p w14:paraId="34A5AD6C" w14:textId="77777777" w:rsidR="00551DF3" w:rsidRPr="00551DF3" w:rsidRDefault="00FC779D" w:rsidP="00551DF3">
            <w:pPr>
              <w:spacing w:before="40" w:after="40"/>
              <w:jc w:val="center"/>
              <w:rPr>
                <w:rFonts w:ascii="Arial" w:eastAsiaTheme="minorHAnsi" w:hAnsi="Arial" w:cs="Arial"/>
                <w:sz w:val="18"/>
                <w:szCs w:val="18"/>
                <w:lang w:eastAsia="en-US"/>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551DF3" w:rsidRPr="00551DF3">
                  <w:rPr>
                    <w:rFonts w:ascii="Segoe UI Symbol" w:eastAsiaTheme="minorHAnsi" w:hAnsi="Segoe UI Symbol" w:cs="Segoe UI Symbol"/>
                    <w:sz w:val="18"/>
                    <w:szCs w:val="18"/>
                    <w:lang w:eastAsia="en-US"/>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52FAE34F" w14:textId="77777777" w:rsidR="00551DF3" w:rsidRPr="00551DF3" w:rsidRDefault="00FC779D" w:rsidP="00551DF3">
            <w:pPr>
              <w:spacing w:before="40" w:after="40"/>
              <w:jc w:val="center"/>
              <w:rPr>
                <w:rFonts w:ascii="Arial" w:eastAsiaTheme="minorHAnsi" w:hAnsi="Arial" w:cs="Arial"/>
                <w:sz w:val="18"/>
                <w:szCs w:val="18"/>
                <w:lang w:eastAsia="en-US"/>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551DF3" w:rsidRPr="00551DF3">
                  <w:rPr>
                    <w:rFonts w:ascii="Segoe UI Symbol" w:eastAsiaTheme="minorHAnsi" w:hAnsi="Segoe UI Symbol" w:cs="Segoe UI Symbol"/>
                    <w:sz w:val="18"/>
                    <w:szCs w:val="18"/>
                    <w:lang w:eastAsia="en-US"/>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7DEF3270" w14:textId="77777777" w:rsidR="00551DF3" w:rsidRPr="00551DF3" w:rsidRDefault="00FC779D" w:rsidP="00551DF3">
            <w:pPr>
              <w:spacing w:before="40" w:after="40"/>
              <w:jc w:val="center"/>
              <w:rPr>
                <w:rFonts w:ascii="Arial" w:eastAsiaTheme="minorHAnsi" w:hAnsi="Arial" w:cs="Arial"/>
                <w:sz w:val="18"/>
                <w:szCs w:val="18"/>
                <w:lang w:eastAsia="en-US"/>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551DF3" w:rsidRPr="00551DF3">
                  <w:rPr>
                    <w:rFonts w:ascii="Segoe UI Symbol" w:eastAsiaTheme="minorHAnsi" w:hAnsi="Segoe UI Symbol" w:cs="Segoe UI Symbol"/>
                    <w:sz w:val="18"/>
                    <w:szCs w:val="18"/>
                    <w:lang w:eastAsia="en-US"/>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C6EE806" w14:textId="77777777" w:rsidR="00551DF3" w:rsidRPr="00551DF3" w:rsidRDefault="00FC779D" w:rsidP="00551DF3">
            <w:pPr>
              <w:spacing w:before="40" w:after="40"/>
              <w:jc w:val="center"/>
              <w:rPr>
                <w:rFonts w:ascii="Arial" w:eastAsiaTheme="minorHAnsi" w:hAnsi="Arial" w:cs="Arial"/>
                <w:sz w:val="18"/>
                <w:szCs w:val="18"/>
                <w:lang w:eastAsia="en-US"/>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551DF3" w:rsidRPr="00551DF3">
                  <w:rPr>
                    <w:rFonts w:ascii="Segoe UI Symbol" w:eastAsiaTheme="minorHAnsi" w:hAnsi="Segoe UI Symbol" w:cs="Segoe UI Symbol"/>
                    <w:sz w:val="18"/>
                    <w:szCs w:val="18"/>
                    <w:lang w:eastAsia="en-US"/>
                  </w:rPr>
                  <w:t>☐</w:t>
                </w:r>
              </w:sdtContent>
            </w:sdt>
          </w:p>
        </w:tc>
      </w:tr>
    </w:tbl>
    <w:p w14:paraId="67F50325" w14:textId="77777777" w:rsidR="00551DF3" w:rsidRDefault="00551DF3" w:rsidP="00551DF3">
      <w:pPr>
        <w:tabs>
          <w:tab w:val="left" w:pos="480"/>
          <w:tab w:val="center" w:pos="4320"/>
          <w:tab w:val="right" w:pos="8640"/>
        </w:tabs>
        <w:spacing w:after="120"/>
        <w:rPr>
          <w:rFonts w:ascii="Arial" w:hAnsi="Arial" w:cs="Arial"/>
          <w:b/>
          <w:bCs/>
          <w:iCs/>
          <w:szCs w:val="18"/>
        </w:rPr>
      </w:pPr>
    </w:p>
    <w:p w14:paraId="08835B7D" w14:textId="7854CACD" w:rsidR="00551DF3" w:rsidRPr="00551DF3" w:rsidRDefault="00551DF3" w:rsidP="00551DF3">
      <w:pPr>
        <w:tabs>
          <w:tab w:val="left" w:pos="480"/>
          <w:tab w:val="center" w:pos="4320"/>
          <w:tab w:val="right" w:pos="8640"/>
        </w:tabs>
        <w:spacing w:after="120"/>
        <w:rPr>
          <w:rFonts w:ascii="Arial" w:hAnsi="Arial" w:cs="Arial"/>
          <w:b/>
          <w:bCs/>
          <w:iCs/>
          <w:szCs w:val="18"/>
        </w:rPr>
      </w:pPr>
      <w:r w:rsidRPr="00551DF3">
        <w:rPr>
          <w:rFonts w:ascii="Arial" w:hAnsi="Arial" w:cs="Arial"/>
          <w:b/>
          <w:bCs/>
          <w:iCs/>
          <w:szCs w:val="18"/>
        </w:rPr>
        <w:t>Section B: Holdings or Other Interests</w:t>
      </w:r>
    </w:p>
    <w:p w14:paraId="3259806F" w14:textId="77777777" w:rsidR="00551DF3" w:rsidRPr="00551DF3" w:rsidRDefault="00551DF3" w:rsidP="00551DF3">
      <w:pPr>
        <w:spacing w:after="120" w:line="276" w:lineRule="auto"/>
        <w:rPr>
          <w:rFonts w:ascii="Arial" w:hAnsi="Arial" w:cs="Arial"/>
          <w:sz w:val="18"/>
          <w:szCs w:val="18"/>
        </w:rPr>
      </w:pPr>
      <w:r w:rsidRPr="00551DF3">
        <w:rPr>
          <w:rFonts w:ascii="Arial" w:hAnsi="Arial" w:cs="Arial"/>
          <w:sz w:val="18"/>
          <w:szCs w:val="18"/>
        </w:rPr>
        <w:t>Have you received or are in possession of stocks or options of more than $10,000 (excluding mutual funds) for organizations that may have a direct or indirect interest in the drug under review? If yes, please list them in the following box.</w:t>
      </w:r>
    </w:p>
    <w:tbl>
      <w:tblPr>
        <w:tblStyle w:val="TableGrid1"/>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551DF3" w:rsidRPr="00551DF3" w14:paraId="038CD6B9" w14:textId="77777777" w:rsidTr="00A37B00">
        <w:tc>
          <w:tcPr>
            <w:tcW w:w="10706" w:type="dxa"/>
          </w:tcPr>
          <w:p w14:paraId="2EA0FABE" w14:textId="77777777" w:rsidR="00551DF3" w:rsidRPr="00551DF3" w:rsidRDefault="00551DF3" w:rsidP="00551DF3">
            <w:pPr>
              <w:spacing w:after="120"/>
              <w:rPr>
                <w:rFonts w:ascii="Arial" w:eastAsiaTheme="minorHAnsi" w:hAnsi="Arial" w:cs="Arial"/>
                <w:sz w:val="18"/>
                <w:szCs w:val="18"/>
                <w:lang w:val="en-US" w:eastAsia="en-US"/>
              </w:rPr>
            </w:pPr>
          </w:p>
          <w:p w14:paraId="70C00B62" w14:textId="77777777" w:rsidR="00551DF3" w:rsidRPr="00551DF3" w:rsidRDefault="00551DF3" w:rsidP="00551DF3">
            <w:pPr>
              <w:spacing w:after="120"/>
              <w:rPr>
                <w:rFonts w:ascii="Arial" w:eastAsiaTheme="minorHAnsi" w:hAnsi="Arial" w:cs="Arial"/>
                <w:sz w:val="18"/>
                <w:szCs w:val="18"/>
                <w:lang w:val="en-US" w:eastAsia="en-US"/>
              </w:rPr>
            </w:pPr>
          </w:p>
          <w:p w14:paraId="1281AFEE" w14:textId="77777777" w:rsidR="00551DF3" w:rsidRPr="00551DF3" w:rsidRDefault="00551DF3" w:rsidP="00551DF3">
            <w:pPr>
              <w:spacing w:after="120"/>
              <w:rPr>
                <w:rFonts w:ascii="Arial" w:eastAsiaTheme="minorHAnsi" w:hAnsi="Arial" w:cs="Arial"/>
                <w:sz w:val="18"/>
                <w:szCs w:val="18"/>
                <w:lang w:val="en-US" w:eastAsia="en-US"/>
              </w:rPr>
            </w:pPr>
          </w:p>
          <w:p w14:paraId="144704B9" w14:textId="77777777" w:rsidR="00551DF3" w:rsidRPr="00551DF3" w:rsidRDefault="00551DF3" w:rsidP="00551DF3">
            <w:pPr>
              <w:spacing w:after="120"/>
              <w:rPr>
                <w:rFonts w:ascii="Arial" w:eastAsiaTheme="minorHAnsi" w:hAnsi="Arial" w:cs="Arial"/>
                <w:sz w:val="18"/>
                <w:szCs w:val="18"/>
                <w:lang w:val="en-US" w:eastAsia="en-US"/>
              </w:rPr>
            </w:pPr>
          </w:p>
        </w:tc>
      </w:tr>
    </w:tbl>
    <w:p w14:paraId="4D161C72" w14:textId="77777777" w:rsidR="00551DF3" w:rsidRPr="00551DF3" w:rsidRDefault="00551DF3" w:rsidP="00551DF3">
      <w:pPr>
        <w:spacing w:after="120"/>
        <w:rPr>
          <w:rFonts w:ascii="Arial" w:hAnsi="Arial" w:cs="Arial"/>
          <w:sz w:val="18"/>
          <w:szCs w:val="18"/>
          <w:lang w:val="en-US"/>
        </w:rPr>
      </w:pPr>
    </w:p>
    <w:p w14:paraId="644E25D1" w14:textId="77777777" w:rsidR="00551DF3" w:rsidRPr="00551DF3" w:rsidRDefault="00551DF3" w:rsidP="00551DF3">
      <w:pPr>
        <w:tabs>
          <w:tab w:val="left" w:pos="480"/>
          <w:tab w:val="center" w:pos="4320"/>
          <w:tab w:val="right" w:pos="8640"/>
        </w:tabs>
        <w:spacing w:after="120"/>
        <w:rPr>
          <w:rFonts w:ascii="Arial" w:hAnsi="Arial" w:cs="Arial"/>
          <w:b/>
          <w:bCs/>
          <w:iCs/>
          <w:szCs w:val="18"/>
        </w:rPr>
      </w:pPr>
      <w:r w:rsidRPr="00551DF3">
        <w:rPr>
          <w:rFonts w:ascii="Arial" w:hAnsi="Arial" w:cs="Arial"/>
          <w:b/>
          <w:bCs/>
          <w:iCs/>
          <w:szCs w:val="18"/>
        </w:rPr>
        <w:t>Section C: Affiliations, Personal or Commercial Relationships</w:t>
      </w:r>
    </w:p>
    <w:p w14:paraId="250DAC0D" w14:textId="77777777" w:rsidR="00551DF3" w:rsidRPr="00551DF3" w:rsidRDefault="00551DF3" w:rsidP="00551DF3">
      <w:pPr>
        <w:spacing w:after="120" w:line="276" w:lineRule="auto"/>
        <w:rPr>
          <w:rFonts w:ascii="Arial" w:hAnsi="Arial" w:cs="Arial"/>
          <w:sz w:val="18"/>
          <w:szCs w:val="18"/>
        </w:rPr>
      </w:pPr>
      <w:r w:rsidRPr="00551DF3">
        <w:rPr>
          <w:rFonts w:ascii="Arial" w:hAnsi="Arial" w:cs="Arial"/>
          <w:sz w:val="18"/>
          <w:szCs w:val="18"/>
        </w:rPr>
        <w:t>Do you have personal or commercial relationships either with a drug or health technology manufacturer (including the manufacturer’s parent corporation, subsidiaries, affiliates, and associated corporations) or other interest groups? If yes, please provide the names of the companies and organizations, and outline the nature of these relationships, in the following box.</w:t>
      </w:r>
    </w:p>
    <w:tbl>
      <w:tblPr>
        <w:tblStyle w:val="TableGrid1"/>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551DF3" w:rsidRPr="00551DF3" w14:paraId="2DF2118A" w14:textId="77777777" w:rsidTr="00A37B00">
        <w:tc>
          <w:tcPr>
            <w:tcW w:w="10706" w:type="dxa"/>
          </w:tcPr>
          <w:p w14:paraId="188E427F" w14:textId="77777777" w:rsidR="00551DF3" w:rsidRPr="00551DF3" w:rsidRDefault="00551DF3" w:rsidP="00551DF3">
            <w:pPr>
              <w:autoSpaceDE w:val="0"/>
              <w:autoSpaceDN w:val="0"/>
              <w:adjustRightInd w:val="0"/>
              <w:rPr>
                <w:rFonts w:ascii="Arial" w:hAnsi="Arial" w:cs="Arial"/>
                <w:color w:val="000000"/>
                <w:sz w:val="18"/>
                <w:szCs w:val="18"/>
                <w:lang w:val="en-US" w:eastAsia="en-US"/>
              </w:rPr>
            </w:pPr>
          </w:p>
          <w:p w14:paraId="2499B876" w14:textId="77777777" w:rsidR="00551DF3" w:rsidRPr="00551DF3" w:rsidRDefault="00551DF3" w:rsidP="00551DF3">
            <w:pPr>
              <w:autoSpaceDE w:val="0"/>
              <w:autoSpaceDN w:val="0"/>
              <w:adjustRightInd w:val="0"/>
              <w:rPr>
                <w:rFonts w:ascii="Arial" w:hAnsi="Arial" w:cs="Arial"/>
                <w:color w:val="000000"/>
                <w:sz w:val="18"/>
                <w:szCs w:val="18"/>
                <w:lang w:val="en-US" w:eastAsia="en-US"/>
              </w:rPr>
            </w:pPr>
          </w:p>
          <w:p w14:paraId="384654CB" w14:textId="77777777" w:rsidR="00551DF3" w:rsidRPr="00551DF3" w:rsidRDefault="00551DF3" w:rsidP="00551DF3">
            <w:pPr>
              <w:autoSpaceDE w:val="0"/>
              <w:autoSpaceDN w:val="0"/>
              <w:adjustRightInd w:val="0"/>
              <w:rPr>
                <w:rFonts w:ascii="Arial" w:hAnsi="Arial" w:cs="Arial"/>
                <w:color w:val="000000"/>
                <w:sz w:val="18"/>
                <w:szCs w:val="18"/>
                <w:lang w:val="en-US" w:eastAsia="en-US"/>
              </w:rPr>
            </w:pPr>
          </w:p>
          <w:p w14:paraId="7D2FC5FC" w14:textId="77777777" w:rsidR="00551DF3" w:rsidRPr="00551DF3" w:rsidRDefault="00551DF3" w:rsidP="00551DF3">
            <w:pPr>
              <w:autoSpaceDE w:val="0"/>
              <w:autoSpaceDN w:val="0"/>
              <w:adjustRightInd w:val="0"/>
              <w:rPr>
                <w:rFonts w:ascii="Arial" w:hAnsi="Arial" w:cs="Arial"/>
                <w:color w:val="000000"/>
                <w:sz w:val="18"/>
                <w:szCs w:val="18"/>
                <w:lang w:val="en-US" w:eastAsia="en-US"/>
              </w:rPr>
            </w:pPr>
          </w:p>
          <w:p w14:paraId="2CCB5760" w14:textId="77777777" w:rsidR="00551DF3" w:rsidRPr="00551DF3" w:rsidRDefault="00551DF3" w:rsidP="00551DF3">
            <w:pPr>
              <w:autoSpaceDE w:val="0"/>
              <w:autoSpaceDN w:val="0"/>
              <w:adjustRightInd w:val="0"/>
              <w:rPr>
                <w:rFonts w:ascii="Arial" w:hAnsi="Arial" w:cs="Arial"/>
                <w:color w:val="000000"/>
                <w:sz w:val="18"/>
                <w:szCs w:val="18"/>
                <w:lang w:val="en-US" w:eastAsia="en-US"/>
              </w:rPr>
            </w:pPr>
          </w:p>
          <w:p w14:paraId="0FE3B70C" w14:textId="77777777" w:rsidR="00551DF3" w:rsidRPr="00551DF3" w:rsidRDefault="00551DF3" w:rsidP="00551DF3">
            <w:pPr>
              <w:autoSpaceDE w:val="0"/>
              <w:autoSpaceDN w:val="0"/>
              <w:adjustRightInd w:val="0"/>
              <w:rPr>
                <w:rFonts w:ascii="Arial" w:hAnsi="Arial" w:cs="Arial"/>
                <w:color w:val="000000"/>
                <w:sz w:val="18"/>
                <w:szCs w:val="18"/>
                <w:lang w:val="en-US" w:eastAsia="en-US"/>
              </w:rPr>
            </w:pPr>
          </w:p>
        </w:tc>
      </w:tr>
    </w:tbl>
    <w:p w14:paraId="3A97AE3B" w14:textId="77777777" w:rsidR="00551DF3" w:rsidRPr="00551DF3" w:rsidRDefault="00551DF3" w:rsidP="00551DF3">
      <w:pPr>
        <w:autoSpaceDE w:val="0"/>
        <w:autoSpaceDN w:val="0"/>
        <w:adjustRightInd w:val="0"/>
        <w:spacing w:after="0"/>
        <w:rPr>
          <w:rFonts w:ascii="Arial" w:eastAsia="Times New Roman" w:hAnsi="Arial" w:cs="Arial"/>
          <w:color w:val="000000"/>
          <w:sz w:val="18"/>
          <w:szCs w:val="18"/>
          <w:lang w:val="en-US"/>
        </w:rPr>
      </w:pPr>
    </w:p>
    <w:p w14:paraId="6803D1C4" w14:textId="77777777" w:rsidR="00551DF3" w:rsidRPr="00551DF3" w:rsidRDefault="00551DF3" w:rsidP="00551DF3">
      <w:pPr>
        <w:autoSpaceDE w:val="0"/>
        <w:autoSpaceDN w:val="0"/>
        <w:adjustRightInd w:val="0"/>
        <w:spacing w:after="0"/>
        <w:rPr>
          <w:rFonts w:ascii="Arial" w:eastAsia="Times New Roman" w:hAnsi="Arial" w:cs="Arial"/>
          <w:color w:val="000000"/>
          <w:sz w:val="18"/>
          <w:szCs w:val="18"/>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551DF3" w:rsidRPr="00551DF3" w14:paraId="4B0595AF" w14:textId="77777777" w:rsidTr="00A37B00">
        <w:tc>
          <w:tcPr>
            <w:tcW w:w="7083" w:type="dxa"/>
          </w:tcPr>
          <w:p w14:paraId="75933F37" w14:textId="77777777" w:rsidR="00551DF3" w:rsidRPr="00551DF3" w:rsidRDefault="00551DF3" w:rsidP="00551DF3">
            <w:pPr>
              <w:autoSpaceDE w:val="0"/>
              <w:autoSpaceDN w:val="0"/>
              <w:adjustRightInd w:val="0"/>
              <w:rPr>
                <w:rFonts w:ascii="Arial" w:hAnsi="Arial" w:cs="Arial"/>
                <w:color w:val="000000"/>
                <w:sz w:val="18"/>
                <w:szCs w:val="24"/>
                <w:lang w:val="en-US" w:eastAsia="en-US"/>
              </w:rPr>
            </w:pPr>
            <w:r w:rsidRPr="00551DF3">
              <w:rPr>
                <w:rFonts w:ascii="Arial" w:hAnsi="Arial" w:cs="Arial"/>
                <w:color w:val="000000"/>
                <w:sz w:val="18"/>
                <w:szCs w:val="24"/>
                <w:lang w:val="en-US" w:eastAsia="en-US"/>
              </w:rPr>
              <w:t xml:space="preserve">By checking this box, </w:t>
            </w:r>
            <w:r w:rsidRPr="00551DF3">
              <w:rPr>
                <w:rFonts w:ascii="Arial" w:eastAsia="SimSun" w:hAnsi="Arial" w:cs="Arial"/>
                <w:color w:val="000000"/>
                <w:sz w:val="18"/>
                <w:szCs w:val="18"/>
                <w:lang w:val="en-US" w:eastAsia="zh-CN"/>
              </w:rPr>
              <w:t>I hereby certify that the information that I have presented here is accurate and complete to the best of my knowledge</w:t>
            </w:r>
          </w:p>
        </w:tc>
        <w:tc>
          <w:tcPr>
            <w:tcW w:w="3505" w:type="dxa"/>
          </w:tcPr>
          <w:p w14:paraId="2CED1A37" w14:textId="77777777" w:rsidR="00551DF3" w:rsidRPr="00551DF3" w:rsidRDefault="00FC779D" w:rsidP="00551DF3">
            <w:pPr>
              <w:autoSpaceDE w:val="0"/>
              <w:autoSpaceDN w:val="0"/>
              <w:adjustRightInd w:val="0"/>
              <w:jc w:val="center"/>
              <w:rPr>
                <w:rFonts w:ascii="Arial" w:eastAsia="SimSun" w:hAnsi="Arial" w:cs="Arial"/>
                <w:color w:val="000000"/>
                <w:sz w:val="22"/>
                <w:szCs w:val="22"/>
                <w:lang w:val="en-US" w:eastAsia="zh-CN"/>
              </w:rPr>
            </w:pPr>
            <w:sdt>
              <w:sdtPr>
                <w:rPr>
                  <w:rFonts w:ascii="Arial" w:hAnsi="Arial" w:cs="Arial"/>
                  <w:color w:val="000000"/>
                  <w:sz w:val="22"/>
                  <w:lang w:val="en-US"/>
                </w:rPr>
                <w:id w:val="2000922035"/>
                <w14:checkbox>
                  <w14:checked w14:val="0"/>
                  <w14:checkedState w14:val="2612" w14:font="MS Gothic"/>
                  <w14:uncheckedState w14:val="2610" w14:font="MS Gothic"/>
                </w14:checkbox>
              </w:sdtPr>
              <w:sdtEndPr/>
              <w:sdtContent>
                <w:r w:rsidR="00551DF3" w:rsidRPr="00551DF3">
                  <w:rPr>
                    <w:rFonts w:ascii="Arial" w:eastAsia="MS Gothic" w:hAnsi="Arial" w:cs="Arial" w:hint="eastAsia"/>
                    <w:color w:val="000000"/>
                    <w:sz w:val="22"/>
                    <w:szCs w:val="24"/>
                    <w:lang w:val="en-US" w:eastAsia="en-US"/>
                  </w:rPr>
                  <w:t>☐</w:t>
                </w:r>
              </w:sdtContent>
            </w:sdt>
          </w:p>
          <w:p w14:paraId="1F1385ED" w14:textId="77777777" w:rsidR="00551DF3" w:rsidRPr="00551DF3" w:rsidRDefault="00551DF3" w:rsidP="00551DF3">
            <w:pPr>
              <w:autoSpaceDE w:val="0"/>
              <w:autoSpaceDN w:val="0"/>
              <w:adjustRightInd w:val="0"/>
              <w:rPr>
                <w:rFonts w:ascii="Arial" w:hAnsi="Arial" w:cs="Arial"/>
                <w:color w:val="000000"/>
                <w:sz w:val="18"/>
                <w:szCs w:val="24"/>
                <w:lang w:val="en-US" w:eastAsia="en-US"/>
              </w:rPr>
            </w:pPr>
          </w:p>
        </w:tc>
      </w:tr>
    </w:tbl>
    <w:p w14:paraId="304C4A72" w14:textId="77777777" w:rsidR="00551DF3" w:rsidRPr="00551DF3" w:rsidRDefault="00551DF3" w:rsidP="00551DF3">
      <w:pPr>
        <w:autoSpaceDE w:val="0"/>
        <w:autoSpaceDN w:val="0"/>
        <w:adjustRightInd w:val="0"/>
        <w:spacing w:after="0"/>
        <w:ind w:left="400"/>
        <w:rPr>
          <w:rFonts w:ascii="Arial" w:eastAsia="Times New Roman" w:hAnsi="Arial" w:cs="Arial"/>
          <w:color w:val="000000"/>
          <w:sz w:val="18"/>
          <w:szCs w:val="18"/>
        </w:rPr>
      </w:pPr>
    </w:p>
    <w:p w14:paraId="79D0B228" w14:textId="77777777" w:rsidR="00551DF3" w:rsidRPr="00551DF3" w:rsidRDefault="00551DF3" w:rsidP="00551DF3">
      <w:pPr>
        <w:autoSpaceDE w:val="0"/>
        <w:autoSpaceDN w:val="0"/>
        <w:adjustRightInd w:val="0"/>
        <w:spacing w:after="0"/>
        <w:ind w:left="400"/>
        <w:rPr>
          <w:rFonts w:ascii="Arial" w:eastAsia="Times New Roman" w:hAnsi="Arial" w:cs="Arial"/>
          <w:color w:val="000000"/>
          <w:sz w:val="18"/>
          <w:szCs w:val="18"/>
        </w:rPr>
      </w:pPr>
    </w:p>
    <w:tbl>
      <w:tblPr>
        <w:tblStyle w:val="TableGrid1"/>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551DF3" w:rsidRPr="00551DF3" w14:paraId="5E0D4435" w14:textId="77777777" w:rsidTr="00A37B00">
        <w:tc>
          <w:tcPr>
            <w:tcW w:w="1960" w:type="pct"/>
            <w:tcBorders>
              <w:bottom w:val="single" w:sz="4" w:space="0" w:color="000000" w:themeColor="text1"/>
            </w:tcBorders>
          </w:tcPr>
          <w:p w14:paraId="564F91F4" w14:textId="77777777" w:rsidR="00551DF3" w:rsidRPr="00551DF3" w:rsidRDefault="00551DF3" w:rsidP="00551DF3">
            <w:pPr>
              <w:spacing w:after="200"/>
              <w:rPr>
                <w:rFonts w:ascii="Arial" w:eastAsiaTheme="minorHAnsi" w:hAnsi="Arial" w:cs="Arial"/>
                <w:szCs w:val="24"/>
                <w:lang w:eastAsia="en-US"/>
              </w:rPr>
            </w:pPr>
          </w:p>
        </w:tc>
        <w:tc>
          <w:tcPr>
            <w:tcW w:w="273" w:type="pct"/>
          </w:tcPr>
          <w:p w14:paraId="459F2D5C" w14:textId="77777777" w:rsidR="00551DF3" w:rsidRPr="00551DF3" w:rsidRDefault="00551DF3" w:rsidP="00551DF3">
            <w:pPr>
              <w:spacing w:after="200"/>
              <w:rPr>
                <w:rFonts w:ascii="Arial" w:eastAsiaTheme="minorHAnsi" w:hAnsi="Arial" w:cs="Arial"/>
                <w:szCs w:val="24"/>
                <w:lang w:eastAsia="en-US"/>
              </w:rPr>
            </w:pPr>
          </w:p>
        </w:tc>
        <w:tc>
          <w:tcPr>
            <w:tcW w:w="2473" w:type="pct"/>
            <w:tcBorders>
              <w:bottom w:val="single" w:sz="4" w:space="0" w:color="auto"/>
            </w:tcBorders>
          </w:tcPr>
          <w:p w14:paraId="069BF599" w14:textId="77777777" w:rsidR="00551DF3" w:rsidRPr="00551DF3" w:rsidRDefault="00551DF3" w:rsidP="00551DF3">
            <w:pPr>
              <w:spacing w:after="200"/>
              <w:rPr>
                <w:rFonts w:ascii="Arial" w:eastAsiaTheme="minorHAnsi" w:hAnsi="Arial" w:cs="Arial"/>
                <w:szCs w:val="24"/>
                <w:lang w:eastAsia="en-US"/>
              </w:rPr>
            </w:pPr>
          </w:p>
        </w:tc>
        <w:tc>
          <w:tcPr>
            <w:tcW w:w="294" w:type="pct"/>
          </w:tcPr>
          <w:p w14:paraId="28299386" w14:textId="77777777" w:rsidR="00551DF3" w:rsidRPr="00551DF3" w:rsidRDefault="00551DF3" w:rsidP="00551DF3">
            <w:pPr>
              <w:spacing w:after="200"/>
              <w:rPr>
                <w:rFonts w:ascii="Arial" w:eastAsiaTheme="minorHAnsi" w:hAnsi="Arial" w:cs="Arial"/>
                <w:szCs w:val="24"/>
                <w:lang w:eastAsia="en-US"/>
              </w:rPr>
            </w:pPr>
          </w:p>
        </w:tc>
      </w:tr>
      <w:tr w:rsidR="00551DF3" w:rsidRPr="00551DF3" w14:paraId="4BA44D9E" w14:textId="77777777" w:rsidTr="00A37B00">
        <w:tc>
          <w:tcPr>
            <w:tcW w:w="1960" w:type="pct"/>
            <w:tcBorders>
              <w:top w:val="single" w:sz="4" w:space="0" w:color="000000" w:themeColor="text1"/>
            </w:tcBorders>
          </w:tcPr>
          <w:p w14:paraId="3DFE9EDD" w14:textId="77777777" w:rsidR="00551DF3" w:rsidRPr="00551DF3" w:rsidRDefault="00551DF3" w:rsidP="00551DF3">
            <w:pPr>
              <w:spacing w:after="200"/>
              <w:rPr>
                <w:rFonts w:ascii="Arial" w:eastAsiaTheme="minorHAnsi" w:hAnsi="Arial" w:cs="Arial"/>
                <w:sz w:val="18"/>
                <w:szCs w:val="24"/>
                <w:lang w:eastAsia="en-US"/>
              </w:rPr>
            </w:pPr>
            <w:r w:rsidRPr="00551DF3">
              <w:rPr>
                <w:rFonts w:ascii="Arial" w:eastAsiaTheme="minorHAnsi" w:hAnsi="Arial" w:cs="Arial"/>
                <w:sz w:val="18"/>
                <w:szCs w:val="24"/>
                <w:lang w:eastAsia="en-US"/>
              </w:rPr>
              <w:t>Date</w:t>
            </w:r>
          </w:p>
        </w:tc>
        <w:tc>
          <w:tcPr>
            <w:tcW w:w="273" w:type="pct"/>
          </w:tcPr>
          <w:p w14:paraId="6C21568E" w14:textId="77777777" w:rsidR="00551DF3" w:rsidRPr="00551DF3" w:rsidRDefault="00551DF3" w:rsidP="00551DF3">
            <w:pPr>
              <w:spacing w:after="200"/>
              <w:rPr>
                <w:rFonts w:ascii="Arial" w:eastAsiaTheme="minorHAnsi" w:hAnsi="Arial" w:cs="Arial"/>
                <w:sz w:val="18"/>
                <w:szCs w:val="24"/>
                <w:lang w:eastAsia="en-US"/>
              </w:rPr>
            </w:pPr>
          </w:p>
        </w:tc>
        <w:tc>
          <w:tcPr>
            <w:tcW w:w="2473" w:type="pct"/>
            <w:tcBorders>
              <w:top w:val="single" w:sz="4" w:space="0" w:color="auto"/>
            </w:tcBorders>
          </w:tcPr>
          <w:p w14:paraId="5602705C" w14:textId="77777777" w:rsidR="00551DF3" w:rsidRPr="00551DF3" w:rsidRDefault="00551DF3" w:rsidP="00551DF3">
            <w:pPr>
              <w:spacing w:after="200"/>
              <w:rPr>
                <w:rFonts w:ascii="Arial" w:eastAsiaTheme="minorHAnsi" w:hAnsi="Arial" w:cs="Arial"/>
                <w:sz w:val="18"/>
                <w:szCs w:val="24"/>
                <w:lang w:eastAsia="en-US"/>
              </w:rPr>
            </w:pPr>
            <w:r w:rsidRPr="00551DF3">
              <w:rPr>
                <w:rFonts w:ascii="Arial" w:eastAsiaTheme="minorHAnsi" w:hAnsi="Arial" w:cs="Arial"/>
                <w:sz w:val="18"/>
                <w:szCs w:val="24"/>
                <w:lang w:eastAsia="en-US"/>
              </w:rPr>
              <w:t>Name</w:t>
            </w:r>
          </w:p>
        </w:tc>
        <w:tc>
          <w:tcPr>
            <w:tcW w:w="294" w:type="pct"/>
          </w:tcPr>
          <w:p w14:paraId="369D4D1E" w14:textId="77777777" w:rsidR="00551DF3" w:rsidRPr="00551DF3" w:rsidRDefault="00551DF3" w:rsidP="00551DF3">
            <w:pPr>
              <w:spacing w:after="200"/>
              <w:rPr>
                <w:rFonts w:ascii="Arial" w:eastAsiaTheme="minorHAnsi" w:hAnsi="Arial" w:cs="Arial"/>
                <w:sz w:val="18"/>
                <w:szCs w:val="24"/>
                <w:lang w:eastAsia="en-US"/>
              </w:rPr>
            </w:pPr>
          </w:p>
        </w:tc>
      </w:tr>
    </w:tbl>
    <w:p w14:paraId="79427871" w14:textId="77777777" w:rsidR="00551DF3" w:rsidRPr="00551DF3" w:rsidRDefault="00551DF3" w:rsidP="00551DF3">
      <w:pPr>
        <w:autoSpaceDE w:val="0"/>
        <w:autoSpaceDN w:val="0"/>
        <w:adjustRightInd w:val="0"/>
        <w:spacing w:after="0"/>
        <w:rPr>
          <w:rFonts w:ascii="Arial" w:eastAsia="SimSun" w:hAnsi="Arial" w:cs="Arial"/>
          <w:color w:val="000000"/>
          <w:sz w:val="18"/>
          <w:szCs w:val="18"/>
          <w:lang w:val="en-US" w:eastAsia="zh-CN"/>
        </w:rPr>
      </w:pPr>
    </w:p>
    <w:p w14:paraId="06138349" w14:textId="77777777" w:rsidR="00551DF3" w:rsidRPr="00551DF3" w:rsidRDefault="00551DF3" w:rsidP="00551DF3">
      <w:pPr>
        <w:autoSpaceDE w:val="0"/>
        <w:autoSpaceDN w:val="0"/>
        <w:adjustRightInd w:val="0"/>
        <w:spacing w:after="0"/>
        <w:rPr>
          <w:rFonts w:ascii="Arial" w:eastAsia="SimSun" w:hAnsi="Arial" w:cs="Arial"/>
          <w:color w:val="000000"/>
          <w:sz w:val="18"/>
          <w:szCs w:val="18"/>
          <w:lang w:val="en-US" w:eastAsia="zh-CN"/>
        </w:rPr>
      </w:pPr>
    </w:p>
    <w:p w14:paraId="35A0414A" w14:textId="77777777" w:rsidR="00551DF3" w:rsidRPr="00551DF3" w:rsidRDefault="00551DF3" w:rsidP="00551DF3">
      <w:pPr>
        <w:rPr>
          <w:rFonts w:ascii="Arial" w:hAnsi="Arial" w:cs="Arial"/>
          <w:sz w:val="18"/>
          <w:szCs w:val="18"/>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A9C9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xieQIAAGAFAAAOAAAAZHJzL2Uyb0RvYy54bWysVMFu2zAMvQ/YPwi6r07SLFu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FC11C"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514186"/>
    <w:multiLevelType w:val="hybridMultilevel"/>
    <w:tmpl w:val="438825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8245199"/>
    <w:multiLevelType w:val="hybridMultilevel"/>
    <w:tmpl w:val="FA8EA39C"/>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09F2518"/>
    <w:multiLevelType w:val="hybridMultilevel"/>
    <w:tmpl w:val="0936D5CE"/>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82488B"/>
    <w:multiLevelType w:val="hybridMultilevel"/>
    <w:tmpl w:val="8572DA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6"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7"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8"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7"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BA50186"/>
    <w:multiLevelType w:val="hybridMultilevel"/>
    <w:tmpl w:val="4C583748"/>
    <w:lvl w:ilvl="0" w:tplc="10090017">
      <w:start w:val="1"/>
      <w:numFmt w:val="lowerLetter"/>
      <w:lvlText w:val="%1)"/>
      <w:lvlJc w:val="left"/>
      <w:pPr>
        <w:ind w:left="2018" w:hanging="360"/>
      </w:pPr>
    </w:lvl>
    <w:lvl w:ilvl="1" w:tplc="10090019">
      <w:start w:val="1"/>
      <w:numFmt w:val="lowerLetter"/>
      <w:lvlText w:val="%2."/>
      <w:lvlJc w:val="left"/>
      <w:pPr>
        <w:ind w:left="2738" w:hanging="360"/>
      </w:pPr>
    </w:lvl>
    <w:lvl w:ilvl="2" w:tplc="1009001B" w:tentative="1">
      <w:start w:val="1"/>
      <w:numFmt w:val="lowerRoman"/>
      <w:lvlText w:val="%3."/>
      <w:lvlJc w:val="right"/>
      <w:pPr>
        <w:ind w:left="3458" w:hanging="180"/>
      </w:pPr>
    </w:lvl>
    <w:lvl w:ilvl="3" w:tplc="1009000F" w:tentative="1">
      <w:start w:val="1"/>
      <w:numFmt w:val="decimal"/>
      <w:lvlText w:val="%4."/>
      <w:lvlJc w:val="left"/>
      <w:pPr>
        <w:ind w:left="4178" w:hanging="360"/>
      </w:pPr>
    </w:lvl>
    <w:lvl w:ilvl="4" w:tplc="10090019" w:tentative="1">
      <w:start w:val="1"/>
      <w:numFmt w:val="lowerLetter"/>
      <w:lvlText w:val="%5."/>
      <w:lvlJc w:val="left"/>
      <w:pPr>
        <w:ind w:left="4898" w:hanging="360"/>
      </w:pPr>
    </w:lvl>
    <w:lvl w:ilvl="5" w:tplc="1009001B" w:tentative="1">
      <w:start w:val="1"/>
      <w:numFmt w:val="lowerRoman"/>
      <w:lvlText w:val="%6."/>
      <w:lvlJc w:val="right"/>
      <w:pPr>
        <w:ind w:left="5618" w:hanging="180"/>
      </w:pPr>
    </w:lvl>
    <w:lvl w:ilvl="6" w:tplc="1009000F" w:tentative="1">
      <w:start w:val="1"/>
      <w:numFmt w:val="decimal"/>
      <w:lvlText w:val="%7."/>
      <w:lvlJc w:val="left"/>
      <w:pPr>
        <w:ind w:left="6338" w:hanging="360"/>
      </w:pPr>
    </w:lvl>
    <w:lvl w:ilvl="7" w:tplc="10090019" w:tentative="1">
      <w:start w:val="1"/>
      <w:numFmt w:val="lowerLetter"/>
      <w:lvlText w:val="%8."/>
      <w:lvlJc w:val="left"/>
      <w:pPr>
        <w:ind w:left="7058" w:hanging="360"/>
      </w:pPr>
    </w:lvl>
    <w:lvl w:ilvl="8" w:tplc="1009001B" w:tentative="1">
      <w:start w:val="1"/>
      <w:numFmt w:val="lowerRoman"/>
      <w:lvlText w:val="%9."/>
      <w:lvlJc w:val="right"/>
      <w:pPr>
        <w:ind w:left="7778" w:hanging="180"/>
      </w:pPr>
    </w:lvl>
  </w:abstractNum>
  <w:abstractNum w:abstractNumId="39"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41" w15:restartNumberingAfterBreak="0">
    <w:nsid w:val="5FF46A8C"/>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3"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2441B1D"/>
    <w:multiLevelType w:val="hybridMultilevel"/>
    <w:tmpl w:val="472E0524"/>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6"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FF479D"/>
    <w:multiLevelType w:val="hybridMultilevel"/>
    <w:tmpl w:val="38DE0B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512" w:hanging="360"/>
      </w:pPr>
      <w:rPr>
        <w:rFonts w:ascii="Courier New" w:hAnsi="Courier New" w:cs="Courier New" w:hint="default"/>
      </w:rPr>
    </w:lvl>
    <w:lvl w:ilvl="2" w:tplc="10090005">
      <w:start w:val="1"/>
      <w:numFmt w:val="bullet"/>
      <w:lvlText w:val=""/>
      <w:lvlJc w:val="left"/>
      <w:pPr>
        <w:ind w:left="1232" w:hanging="360"/>
      </w:pPr>
      <w:rPr>
        <w:rFonts w:ascii="Wingdings" w:hAnsi="Wingdings" w:hint="default"/>
      </w:rPr>
    </w:lvl>
    <w:lvl w:ilvl="3" w:tplc="10090001">
      <w:start w:val="1"/>
      <w:numFmt w:val="bullet"/>
      <w:lvlText w:val=""/>
      <w:lvlJc w:val="left"/>
      <w:pPr>
        <w:ind w:left="1952" w:hanging="360"/>
      </w:pPr>
      <w:rPr>
        <w:rFonts w:ascii="Symbol" w:hAnsi="Symbol" w:hint="default"/>
      </w:rPr>
    </w:lvl>
    <w:lvl w:ilvl="4" w:tplc="10090003" w:tentative="1">
      <w:start w:val="1"/>
      <w:numFmt w:val="bullet"/>
      <w:lvlText w:val="o"/>
      <w:lvlJc w:val="left"/>
      <w:pPr>
        <w:ind w:left="2672" w:hanging="360"/>
      </w:pPr>
      <w:rPr>
        <w:rFonts w:ascii="Courier New" w:hAnsi="Courier New" w:cs="Courier New" w:hint="default"/>
      </w:rPr>
    </w:lvl>
    <w:lvl w:ilvl="5" w:tplc="10090005" w:tentative="1">
      <w:start w:val="1"/>
      <w:numFmt w:val="bullet"/>
      <w:lvlText w:val=""/>
      <w:lvlJc w:val="left"/>
      <w:pPr>
        <w:ind w:left="3392" w:hanging="360"/>
      </w:pPr>
      <w:rPr>
        <w:rFonts w:ascii="Wingdings" w:hAnsi="Wingdings" w:hint="default"/>
      </w:rPr>
    </w:lvl>
    <w:lvl w:ilvl="6" w:tplc="10090001" w:tentative="1">
      <w:start w:val="1"/>
      <w:numFmt w:val="bullet"/>
      <w:lvlText w:val=""/>
      <w:lvlJc w:val="left"/>
      <w:pPr>
        <w:ind w:left="4112" w:hanging="360"/>
      </w:pPr>
      <w:rPr>
        <w:rFonts w:ascii="Symbol" w:hAnsi="Symbol" w:hint="default"/>
      </w:rPr>
    </w:lvl>
    <w:lvl w:ilvl="7" w:tplc="10090003" w:tentative="1">
      <w:start w:val="1"/>
      <w:numFmt w:val="bullet"/>
      <w:lvlText w:val="o"/>
      <w:lvlJc w:val="left"/>
      <w:pPr>
        <w:ind w:left="4832" w:hanging="360"/>
      </w:pPr>
      <w:rPr>
        <w:rFonts w:ascii="Courier New" w:hAnsi="Courier New" w:cs="Courier New" w:hint="default"/>
      </w:rPr>
    </w:lvl>
    <w:lvl w:ilvl="8" w:tplc="10090005" w:tentative="1">
      <w:start w:val="1"/>
      <w:numFmt w:val="bullet"/>
      <w:lvlText w:val=""/>
      <w:lvlJc w:val="left"/>
      <w:pPr>
        <w:ind w:left="5552" w:hanging="360"/>
      </w:pPr>
      <w:rPr>
        <w:rFonts w:ascii="Wingdings" w:hAnsi="Wingdings" w:hint="default"/>
      </w:rPr>
    </w:lvl>
  </w:abstractNum>
  <w:abstractNum w:abstractNumId="48" w15:restartNumberingAfterBreak="0">
    <w:nsid w:val="6B4619BD"/>
    <w:multiLevelType w:val="multilevel"/>
    <w:tmpl w:val="33581FF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9"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50"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51"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52"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4"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46"/>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49"/>
  </w:num>
  <w:num w:numId="16">
    <w:abstractNumId w:val="29"/>
  </w:num>
  <w:num w:numId="17">
    <w:abstractNumId w:val="34"/>
  </w:num>
  <w:num w:numId="18">
    <w:abstractNumId w:val="54"/>
  </w:num>
  <w:num w:numId="19">
    <w:abstractNumId w:val="32"/>
  </w:num>
  <w:num w:numId="20">
    <w:abstractNumId w:val="11"/>
  </w:num>
  <w:num w:numId="21">
    <w:abstractNumId w:val="9"/>
  </w:num>
  <w:num w:numId="22">
    <w:abstractNumId w:val="31"/>
  </w:num>
  <w:num w:numId="23">
    <w:abstractNumId w:val="52"/>
  </w:num>
  <w:num w:numId="24">
    <w:abstractNumId w:val="15"/>
  </w:num>
  <w:num w:numId="25">
    <w:abstractNumId w:val="28"/>
  </w:num>
  <w:num w:numId="26">
    <w:abstractNumId w:val="42"/>
  </w:num>
  <w:num w:numId="27">
    <w:abstractNumId w:val="20"/>
  </w:num>
  <w:num w:numId="28">
    <w:abstractNumId w:val="27"/>
  </w:num>
  <w:num w:numId="29">
    <w:abstractNumId w:val="18"/>
  </w:num>
  <w:num w:numId="30">
    <w:abstractNumId w:val="50"/>
  </w:num>
  <w:num w:numId="31">
    <w:abstractNumId w:val="44"/>
  </w:num>
  <w:num w:numId="32">
    <w:abstractNumId w:val="53"/>
    <w:lvlOverride w:ilvl="0">
      <w:startOverride w:val="1"/>
    </w:lvlOverride>
  </w:num>
  <w:num w:numId="33">
    <w:abstractNumId w:val="40"/>
    <w:lvlOverride w:ilvl="0">
      <w:startOverride w:val="1"/>
    </w:lvlOverride>
  </w:num>
  <w:num w:numId="34">
    <w:abstractNumId w:val="43"/>
  </w:num>
  <w:num w:numId="35">
    <w:abstractNumId w:val="26"/>
  </w:num>
  <w:num w:numId="36">
    <w:abstractNumId w:val="24"/>
  </w:num>
  <w:num w:numId="37">
    <w:abstractNumId w:val="23"/>
  </w:num>
  <w:num w:numId="38">
    <w:abstractNumId w:val="12"/>
  </w:num>
  <w:num w:numId="39">
    <w:abstractNumId w:val="51"/>
  </w:num>
  <w:num w:numId="40">
    <w:abstractNumId w:val="16"/>
  </w:num>
  <w:num w:numId="41">
    <w:abstractNumId w:val="45"/>
  </w:num>
  <w:num w:numId="42">
    <w:abstractNumId w:val="19"/>
  </w:num>
  <w:num w:numId="43">
    <w:abstractNumId w:val="37"/>
  </w:num>
  <w:num w:numId="44">
    <w:abstractNumId w:val="47"/>
  </w:num>
  <w:num w:numId="45">
    <w:abstractNumId w:val="21"/>
  </w:num>
  <w:num w:numId="46">
    <w:abstractNumId w:val="13"/>
  </w:num>
  <w:num w:numId="47">
    <w:abstractNumId w:val="35"/>
  </w:num>
  <w:num w:numId="48">
    <w:abstractNumId w:val="30"/>
  </w:num>
  <w:num w:numId="49">
    <w:abstractNumId w:val="39"/>
  </w:num>
  <w:num w:numId="50">
    <w:abstractNumId w:val="38"/>
  </w:num>
  <w:num w:numId="51">
    <w:abstractNumId w:val="17"/>
  </w:num>
  <w:num w:numId="52">
    <w:abstractNumId w:val="22"/>
  </w:num>
  <w:num w:numId="53">
    <w:abstractNumId w:val="48"/>
  </w:num>
  <w:num w:numId="54">
    <w:abstractNumId w:val="25"/>
  </w:num>
  <w:num w:numId="55">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35BE"/>
    <w:rsid w:val="0006645B"/>
    <w:rsid w:val="0006646E"/>
    <w:rsid w:val="00066C52"/>
    <w:rsid w:val="00067BEE"/>
    <w:rsid w:val="00067EA3"/>
    <w:rsid w:val="00071721"/>
    <w:rsid w:val="0007331A"/>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05C1"/>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0222"/>
    <w:rsid w:val="002847AD"/>
    <w:rsid w:val="00285957"/>
    <w:rsid w:val="00292B5D"/>
    <w:rsid w:val="00293200"/>
    <w:rsid w:val="00294CB9"/>
    <w:rsid w:val="0029523E"/>
    <w:rsid w:val="002B2D78"/>
    <w:rsid w:val="002B6066"/>
    <w:rsid w:val="002B75E4"/>
    <w:rsid w:val="002C16FC"/>
    <w:rsid w:val="002C427F"/>
    <w:rsid w:val="002C4D19"/>
    <w:rsid w:val="002D4E84"/>
    <w:rsid w:val="002D7127"/>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5F"/>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B503C"/>
    <w:rsid w:val="003C6725"/>
    <w:rsid w:val="003D23FF"/>
    <w:rsid w:val="003D4B9A"/>
    <w:rsid w:val="003D5D98"/>
    <w:rsid w:val="003E2327"/>
    <w:rsid w:val="003E6F8C"/>
    <w:rsid w:val="003E7C4C"/>
    <w:rsid w:val="003F276D"/>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1DF3"/>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0E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211E"/>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0BFB"/>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061D"/>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CDC"/>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2020"/>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4C4"/>
    <w:rsid w:val="00FA5EC8"/>
    <w:rsid w:val="00FB5292"/>
    <w:rsid w:val="00FB56E7"/>
    <w:rsid w:val="00FC1BA0"/>
    <w:rsid w:val="00FC27BD"/>
    <w:rsid w:val="00FC3C34"/>
    <w:rsid w:val="00FC58A4"/>
    <w:rsid w:val="00FC779D"/>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uiPriority w:val="20"/>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uiPriority w:val="99"/>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uiPriority w:val="99"/>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0635BE"/>
    <w:rPr>
      <w:color w:val="605E5C"/>
      <w:shd w:val="clear" w:color="auto" w:fill="E1DFDD"/>
    </w:rPr>
  </w:style>
  <w:style w:type="table" w:customStyle="1" w:styleId="TableGrid1">
    <w:name w:val="Table Grid1"/>
    <w:basedOn w:val="TableNormal"/>
    <w:next w:val="TableGrid"/>
    <w:rsid w:val="00551DF3"/>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3532">
      <w:bodyDiv w:val="1"/>
      <w:marLeft w:val="0"/>
      <w:marRight w:val="0"/>
      <w:marTop w:val="0"/>
      <w:marBottom w:val="0"/>
      <w:divBdr>
        <w:top w:val="none" w:sz="0" w:space="0" w:color="auto"/>
        <w:left w:val="none" w:sz="0" w:space="0" w:color="auto"/>
        <w:bottom w:val="none" w:sz="0" w:space="0" w:color="auto"/>
        <w:right w:val="none" w:sz="0" w:space="0" w:color="auto"/>
      </w:divBdr>
    </w:div>
    <w:div w:id="94520828">
      <w:bodyDiv w:val="1"/>
      <w:marLeft w:val="0"/>
      <w:marRight w:val="0"/>
      <w:marTop w:val="0"/>
      <w:marBottom w:val="0"/>
      <w:divBdr>
        <w:top w:val="none" w:sz="0" w:space="0" w:color="auto"/>
        <w:left w:val="none" w:sz="0" w:space="0" w:color="auto"/>
        <w:bottom w:val="none" w:sz="0" w:space="0" w:color="auto"/>
        <w:right w:val="none" w:sz="0" w:space="0" w:color="auto"/>
      </w:divBdr>
    </w:div>
    <w:div w:id="206069331">
      <w:bodyDiv w:val="1"/>
      <w:marLeft w:val="0"/>
      <w:marRight w:val="0"/>
      <w:marTop w:val="0"/>
      <w:marBottom w:val="0"/>
      <w:divBdr>
        <w:top w:val="none" w:sz="0" w:space="0" w:color="auto"/>
        <w:left w:val="none" w:sz="0" w:space="0" w:color="auto"/>
        <w:bottom w:val="none" w:sz="0" w:space="0" w:color="auto"/>
        <w:right w:val="none" w:sz="0" w:space="0" w:color="auto"/>
      </w:divBdr>
      <w:divsChild>
        <w:div w:id="633371910">
          <w:marLeft w:val="0"/>
          <w:marRight w:val="0"/>
          <w:marTop w:val="0"/>
          <w:marBottom w:val="0"/>
          <w:divBdr>
            <w:top w:val="none" w:sz="0" w:space="0" w:color="auto"/>
            <w:left w:val="none" w:sz="0" w:space="0" w:color="auto"/>
            <w:bottom w:val="none" w:sz="0" w:space="0" w:color="auto"/>
            <w:right w:val="none" w:sz="0" w:space="0" w:color="auto"/>
          </w:divBdr>
        </w:div>
        <w:div w:id="2025740795">
          <w:marLeft w:val="0"/>
          <w:marRight w:val="0"/>
          <w:marTop w:val="0"/>
          <w:marBottom w:val="0"/>
          <w:divBdr>
            <w:top w:val="none" w:sz="0" w:space="0" w:color="auto"/>
            <w:left w:val="none" w:sz="0" w:space="0" w:color="auto"/>
            <w:bottom w:val="none" w:sz="0" w:space="0" w:color="auto"/>
            <w:right w:val="none" w:sz="0" w:space="0" w:color="auto"/>
          </w:divBdr>
        </w:div>
      </w:divsChild>
    </w:div>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491408066">
      <w:bodyDiv w:val="1"/>
      <w:marLeft w:val="0"/>
      <w:marRight w:val="0"/>
      <w:marTop w:val="0"/>
      <w:marBottom w:val="0"/>
      <w:divBdr>
        <w:top w:val="none" w:sz="0" w:space="0" w:color="auto"/>
        <w:left w:val="none" w:sz="0" w:space="0" w:color="auto"/>
        <w:bottom w:val="none" w:sz="0" w:space="0" w:color="auto"/>
        <w:right w:val="none" w:sz="0" w:space="0" w:color="auto"/>
      </w:divBdr>
    </w:div>
    <w:div w:id="516846857">
      <w:bodyDiv w:val="1"/>
      <w:marLeft w:val="0"/>
      <w:marRight w:val="0"/>
      <w:marTop w:val="0"/>
      <w:marBottom w:val="0"/>
      <w:divBdr>
        <w:top w:val="none" w:sz="0" w:space="0" w:color="auto"/>
        <w:left w:val="none" w:sz="0" w:space="0" w:color="auto"/>
        <w:bottom w:val="none" w:sz="0" w:space="0" w:color="auto"/>
        <w:right w:val="none" w:sz="0" w:space="0" w:color="auto"/>
      </w:divBdr>
    </w:div>
    <w:div w:id="544097134">
      <w:bodyDiv w:val="1"/>
      <w:marLeft w:val="0"/>
      <w:marRight w:val="0"/>
      <w:marTop w:val="0"/>
      <w:marBottom w:val="0"/>
      <w:divBdr>
        <w:top w:val="none" w:sz="0" w:space="0" w:color="auto"/>
        <w:left w:val="none" w:sz="0" w:space="0" w:color="auto"/>
        <w:bottom w:val="none" w:sz="0" w:space="0" w:color="auto"/>
        <w:right w:val="none" w:sz="0" w:space="0" w:color="auto"/>
      </w:divBdr>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570703206">
      <w:bodyDiv w:val="1"/>
      <w:marLeft w:val="0"/>
      <w:marRight w:val="0"/>
      <w:marTop w:val="0"/>
      <w:marBottom w:val="0"/>
      <w:divBdr>
        <w:top w:val="none" w:sz="0" w:space="0" w:color="auto"/>
        <w:left w:val="none" w:sz="0" w:space="0" w:color="auto"/>
        <w:bottom w:val="none" w:sz="0" w:space="0" w:color="auto"/>
        <w:right w:val="none" w:sz="0" w:space="0" w:color="auto"/>
      </w:divBdr>
    </w:div>
    <w:div w:id="616525624">
      <w:bodyDiv w:val="1"/>
      <w:marLeft w:val="0"/>
      <w:marRight w:val="0"/>
      <w:marTop w:val="0"/>
      <w:marBottom w:val="0"/>
      <w:divBdr>
        <w:top w:val="none" w:sz="0" w:space="0" w:color="auto"/>
        <w:left w:val="none" w:sz="0" w:space="0" w:color="auto"/>
        <w:bottom w:val="none" w:sz="0" w:space="0" w:color="auto"/>
        <w:right w:val="none" w:sz="0" w:space="0" w:color="auto"/>
      </w:divBdr>
    </w:div>
    <w:div w:id="649134260">
      <w:bodyDiv w:val="1"/>
      <w:marLeft w:val="0"/>
      <w:marRight w:val="0"/>
      <w:marTop w:val="0"/>
      <w:marBottom w:val="0"/>
      <w:divBdr>
        <w:top w:val="none" w:sz="0" w:space="0" w:color="auto"/>
        <w:left w:val="none" w:sz="0" w:space="0" w:color="auto"/>
        <w:bottom w:val="none" w:sz="0" w:space="0" w:color="auto"/>
        <w:right w:val="none" w:sz="0" w:space="0" w:color="auto"/>
      </w:divBdr>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802892285">
      <w:bodyDiv w:val="1"/>
      <w:marLeft w:val="0"/>
      <w:marRight w:val="0"/>
      <w:marTop w:val="0"/>
      <w:marBottom w:val="0"/>
      <w:divBdr>
        <w:top w:val="none" w:sz="0" w:space="0" w:color="auto"/>
        <w:left w:val="none" w:sz="0" w:space="0" w:color="auto"/>
        <w:bottom w:val="none" w:sz="0" w:space="0" w:color="auto"/>
        <w:right w:val="none" w:sz="0" w:space="0" w:color="auto"/>
      </w:divBdr>
    </w:div>
    <w:div w:id="965432966">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1902446800">
      <w:bodyDiv w:val="1"/>
      <w:marLeft w:val="0"/>
      <w:marRight w:val="0"/>
      <w:marTop w:val="0"/>
      <w:marBottom w:val="0"/>
      <w:divBdr>
        <w:top w:val="none" w:sz="0" w:space="0" w:color="auto"/>
        <w:left w:val="none" w:sz="0" w:space="0" w:color="auto"/>
        <w:bottom w:val="none" w:sz="0" w:space="0" w:color="auto"/>
        <w:right w:val="none" w:sz="0" w:space="0" w:color="auto"/>
      </w:divBdr>
    </w:div>
    <w:div w:id="195142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abstracts.asco.org/239/AbstView_239_26505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thelancet.com/journals/lanhae/article/PIIS2352-3026(17)30088-1/fulltext" TargetMode="External"/><Relationship Id="rId2" Type="http://schemas.openxmlformats.org/officeDocument/2006/relationships/numbering" Target="numbering.xml"/><Relationship Id="rId16" Type="http://schemas.openxmlformats.org/officeDocument/2006/relationships/hyperlink" Target="https://clinicaltrials.gov/ct2/show/NCT015231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amanetwork.com/journals/jamaoncology/fullarticle/2330618" TargetMode="External"/><Relationship Id="rId10" Type="http://schemas.openxmlformats.org/officeDocument/2006/relationships/header" Target="header1.xml"/><Relationship Id="rId19" Type="http://schemas.openxmlformats.org/officeDocument/2006/relationships/hyperlink" Target="https://www.esmo.org/Guidelines/Haematological-Malignancies"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4377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AFC3-321F-444F-AE1B-4CDC9FE0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2020-10-07T15:47:00Z</dcterms:created>
  <dcterms:modified xsi:type="dcterms:W3CDTF">2020-10-07T15:52:00Z</dcterms:modified>
</cp:coreProperties>
</file>