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C492E88" w:rsidR="00121EB1" w:rsidRPr="00CB5E8A" w:rsidRDefault="00CB5E8A" w:rsidP="00860375">
            <w:pPr>
              <w:pStyle w:val="DocumentTitle"/>
              <w:tabs>
                <w:tab w:val="left" w:pos="1074"/>
              </w:tabs>
              <w:spacing w:before="0" w:after="0"/>
              <w:rPr>
                <w:sz w:val="18"/>
                <w:szCs w:val="20"/>
              </w:rPr>
            </w:pPr>
            <w:proofErr w:type="spellStart"/>
            <w:r w:rsidRPr="00CB5E8A">
              <w:rPr>
                <w:sz w:val="18"/>
                <w:szCs w:val="20"/>
              </w:rPr>
              <w:t>pCODR</w:t>
            </w:r>
            <w:proofErr w:type="spellEnd"/>
            <w:r w:rsidRPr="00CB5E8A">
              <w:rPr>
                <w:sz w:val="18"/>
                <w:szCs w:val="20"/>
              </w:rPr>
              <w:t xml:space="preserve"> 10</w:t>
            </w:r>
            <w:r w:rsidR="003D7447">
              <w:rPr>
                <w:sz w:val="18"/>
                <w:szCs w:val="20"/>
              </w:rPr>
              <w:t>2</w:t>
            </w:r>
            <w:r w:rsidR="004D52C7">
              <w:rPr>
                <w:sz w:val="18"/>
                <w:szCs w:val="20"/>
              </w:rPr>
              <w:t>1</w:t>
            </w:r>
            <w:r w:rsidR="00114C54">
              <w:rPr>
                <w:sz w:val="18"/>
                <w:szCs w:val="20"/>
              </w:rPr>
              <w:t>1</w:t>
            </w:r>
            <w:bookmarkStart w:id="0" w:name="_GoBack"/>
            <w:bookmarkEnd w:id="0"/>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5FE5C5C" w:rsidR="00F369F8" w:rsidRPr="00CB5E8A" w:rsidRDefault="004D52C7" w:rsidP="00B073A2">
            <w:pPr>
              <w:pStyle w:val="DocumentTitle"/>
              <w:tabs>
                <w:tab w:val="left" w:pos="1074"/>
              </w:tabs>
              <w:spacing w:before="0" w:after="0"/>
              <w:rPr>
                <w:sz w:val="18"/>
                <w:szCs w:val="20"/>
              </w:rPr>
            </w:pPr>
            <w:proofErr w:type="spellStart"/>
            <w:r>
              <w:rPr>
                <w:sz w:val="18"/>
                <w:szCs w:val="20"/>
              </w:rPr>
              <w:t>Acalabrutinib</w:t>
            </w:r>
            <w:proofErr w:type="spellEnd"/>
            <w:r>
              <w:rPr>
                <w:sz w:val="18"/>
                <w:szCs w:val="20"/>
              </w:rPr>
              <w:t xml:space="preserve"> (</w:t>
            </w:r>
            <w:proofErr w:type="spellStart"/>
            <w:r>
              <w:rPr>
                <w:sz w:val="18"/>
                <w:szCs w:val="20"/>
              </w:rPr>
              <w:t>Calquence</w:t>
            </w:r>
            <w:proofErr w:type="spellEnd"/>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2FF6E31" w:rsidR="00F369F8" w:rsidRPr="00F60A6E" w:rsidRDefault="00CE4B37" w:rsidP="00CE4B37">
            <w:pPr>
              <w:pStyle w:val="DocumentTitle"/>
              <w:tabs>
                <w:tab w:val="left" w:pos="1074"/>
              </w:tabs>
              <w:spacing w:after="0"/>
              <w:rPr>
                <w:sz w:val="18"/>
                <w:szCs w:val="20"/>
              </w:rPr>
            </w:pPr>
            <w:r w:rsidRPr="00CE4B37">
              <w:rPr>
                <w:sz w:val="18"/>
                <w:szCs w:val="20"/>
              </w:rPr>
              <w:t>As monotherapy for the treatment of patients with chronic lymphocytic leukemia (CLL) who have received at</w:t>
            </w:r>
            <w:r>
              <w:rPr>
                <w:sz w:val="18"/>
                <w:szCs w:val="20"/>
              </w:rPr>
              <w:t xml:space="preserve"> </w:t>
            </w:r>
            <w:r w:rsidRPr="00CE4B37">
              <w:rPr>
                <w:sz w:val="18"/>
                <w:szCs w:val="20"/>
              </w:rPr>
              <w:t>least one prior 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7DF77072" w14:textId="77777777" w:rsidR="00CE4B37" w:rsidRPr="00CE4B37" w:rsidRDefault="00CE4B37" w:rsidP="00CE4B37">
            <w:pPr>
              <w:pStyle w:val="DocumentTitle"/>
              <w:tabs>
                <w:tab w:val="left" w:pos="1074"/>
              </w:tabs>
              <w:spacing w:after="0"/>
              <w:rPr>
                <w:sz w:val="18"/>
                <w:szCs w:val="20"/>
              </w:rPr>
            </w:pPr>
            <w:r w:rsidRPr="00CE4B37">
              <w:rPr>
                <w:sz w:val="18"/>
                <w:szCs w:val="20"/>
              </w:rPr>
              <w:t>As monotherapy for the treatment of patients with chronic lymphocytic</w:t>
            </w:r>
          </w:p>
          <w:p w14:paraId="09887E5F" w14:textId="11BC896C" w:rsidR="00F81D31" w:rsidRPr="00F60A6E" w:rsidRDefault="00CE4B37" w:rsidP="00CE4B37">
            <w:pPr>
              <w:pStyle w:val="DocumentTitle"/>
              <w:tabs>
                <w:tab w:val="left" w:pos="1074"/>
              </w:tabs>
              <w:spacing w:before="0" w:after="0"/>
              <w:rPr>
                <w:sz w:val="18"/>
                <w:szCs w:val="18"/>
              </w:rPr>
            </w:pPr>
            <w:r w:rsidRPr="00CE4B37">
              <w:rPr>
                <w:sz w:val="18"/>
                <w:szCs w:val="20"/>
              </w:rPr>
              <w:t>leukemia (CLL) who have received at least one prior therapy</w:t>
            </w:r>
          </w:p>
        </w:tc>
      </w:tr>
      <w:tr w:rsidR="00F369F8" w:rsidRPr="00355BE0"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0865CA08" w:rsidR="00F60A6E" w:rsidRPr="00355BE0" w:rsidRDefault="009C0339" w:rsidP="003D7447">
            <w:pPr>
              <w:pStyle w:val="DocumentTitle"/>
              <w:tabs>
                <w:tab w:val="left" w:pos="1074"/>
              </w:tabs>
              <w:spacing w:before="0" w:after="0"/>
              <w:rPr>
                <w:sz w:val="18"/>
                <w:szCs w:val="18"/>
                <w:lang w:val="fr-CA"/>
              </w:rPr>
            </w:pPr>
            <w:r w:rsidRPr="009C0339">
              <w:rPr>
                <w:sz w:val="18"/>
                <w:szCs w:val="18"/>
              </w:rPr>
              <w:t>ASCEND (</w:t>
            </w:r>
            <w:hyperlink r:id="rId14" w:tgtFrame="_blank" w:history="1">
              <w:r w:rsidRPr="009C0339">
                <w:rPr>
                  <w:rStyle w:val="Hyperlink"/>
                  <w:sz w:val="18"/>
                  <w:szCs w:val="18"/>
                </w:rPr>
                <w:t>NCT02970318</w:t>
              </w:r>
            </w:hyperlink>
            <w:r w:rsidRPr="009C0339">
              <w:rPr>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6E4FCE7" w:rsidR="002E1BF2" w:rsidRPr="00E12C1E" w:rsidRDefault="00ED723D" w:rsidP="005903D7">
            <w:pPr>
              <w:pStyle w:val="DocumentTitle"/>
              <w:tabs>
                <w:tab w:val="left" w:pos="1074"/>
              </w:tabs>
              <w:spacing w:before="0" w:after="0"/>
              <w:rPr>
                <w:sz w:val="18"/>
                <w:szCs w:val="20"/>
              </w:rPr>
            </w:pPr>
            <w:bookmarkStart w:id="1" w:name="_Hlk34383751"/>
            <w:r>
              <w:rPr>
                <w:sz w:val="18"/>
                <w:szCs w:val="20"/>
              </w:rPr>
              <w:t xml:space="preserve">Approved </w:t>
            </w:r>
            <w:r w:rsidRPr="00CC5F89">
              <w:rPr>
                <w:sz w:val="18"/>
                <w:szCs w:val="20"/>
              </w:rPr>
              <w:t>28/11/2019</w:t>
            </w:r>
            <w:bookmarkEnd w:id="1"/>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41BADC0B" w:rsidR="007C5D35" w:rsidRPr="00F60A6E" w:rsidRDefault="007C5D35" w:rsidP="007C5D35">
            <w:pPr>
              <w:pStyle w:val="DocumentTitle"/>
              <w:tabs>
                <w:tab w:val="left" w:pos="1074"/>
              </w:tabs>
              <w:spacing w:after="0"/>
              <w:rPr>
                <w:sz w:val="18"/>
                <w:szCs w:val="20"/>
              </w:rPr>
            </w:pPr>
            <w:r w:rsidRPr="007C5D35">
              <w:rPr>
                <w:sz w:val="18"/>
                <w:szCs w:val="20"/>
              </w:rPr>
              <w:t>P</w:t>
            </w:r>
            <w:r>
              <w:rPr>
                <w:sz w:val="18"/>
                <w:szCs w:val="20"/>
              </w:rPr>
              <w:t>ending approval</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498D8C80" w:rsidR="007C5D35" w:rsidRPr="00F60A6E" w:rsidRDefault="007C5D35" w:rsidP="007C5D35">
            <w:pPr>
              <w:pStyle w:val="DocumentTitle"/>
              <w:tabs>
                <w:tab w:val="left" w:pos="1074"/>
              </w:tabs>
              <w:spacing w:before="0" w:after="0"/>
              <w:rPr>
                <w:sz w:val="18"/>
                <w:szCs w:val="20"/>
              </w:rPr>
            </w:pPr>
            <w:r w:rsidRPr="007C5D35">
              <w:rPr>
                <w:sz w:val="18"/>
                <w:szCs w:val="20"/>
              </w:rPr>
              <w:t>P</w:t>
            </w:r>
            <w:r>
              <w:rPr>
                <w:sz w:val="18"/>
                <w:szCs w:val="20"/>
              </w:rPr>
              <w:t>ending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BB4B392" w14:textId="24F9C642" w:rsidR="007C5D35" w:rsidRPr="00536E2B" w:rsidRDefault="00BC506E" w:rsidP="007C5D35">
            <w:pPr>
              <w:pStyle w:val="DocumentTitle"/>
              <w:tabs>
                <w:tab w:val="left" w:pos="1074"/>
              </w:tabs>
              <w:spacing w:before="0" w:after="0"/>
              <w:rPr>
                <w:rStyle w:val="Hyperlink"/>
                <w:color w:val="auto"/>
                <w:sz w:val="18"/>
                <w:szCs w:val="20"/>
                <w:u w:val="none"/>
              </w:rPr>
            </w:pPr>
            <w:hyperlink r:id="rId15" w:history="1">
              <w:r w:rsidR="00536E2B">
                <w:rPr>
                  <w:rStyle w:val="Hyperlink"/>
                  <w:sz w:val="18"/>
                  <w:szCs w:val="20"/>
                </w:rPr>
                <w:t>NCCN CLL/SLL v2.2019</w:t>
              </w:r>
            </w:hyperlink>
          </w:p>
          <w:p w14:paraId="17E99E46" w14:textId="67C134D9" w:rsidR="007C5D35" w:rsidRPr="007C5D35" w:rsidRDefault="00BC506E" w:rsidP="007C5D35">
            <w:pPr>
              <w:pStyle w:val="DocumentTitle"/>
              <w:tabs>
                <w:tab w:val="left" w:pos="1074"/>
              </w:tabs>
              <w:spacing w:before="0" w:after="0"/>
              <w:rPr>
                <w:color w:val="0000FF" w:themeColor="hyperlink"/>
                <w:sz w:val="18"/>
                <w:szCs w:val="20"/>
                <w:u w:val="single"/>
              </w:rPr>
            </w:pPr>
            <w:hyperlink r:id="rId16" w:history="1">
              <w:r w:rsidR="00536E2B">
                <w:rPr>
                  <w:rStyle w:val="Hyperlink"/>
                  <w:sz w:val="18"/>
                  <w:szCs w:val="20"/>
                </w:rPr>
                <w:t>ESMO CLL 2015</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4A9BED0B" w:rsidR="003D7447" w:rsidRPr="0097124E" w:rsidRDefault="009C0339" w:rsidP="003D7447">
            <w:pPr>
              <w:pStyle w:val="DocumentTitle"/>
              <w:tabs>
                <w:tab w:val="left" w:pos="1074"/>
              </w:tabs>
              <w:spacing w:after="0"/>
              <w:rPr>
                <w:sz w:val="18"/>
                <w:szCs w:val="18"/>
              </w:rPr>
            </w:pPr>
            <w:r w:rsidRPr="009C0339">
              <w:rPr>
                <w:sz w:val="18"/>
                <w:szCs w:val="18"/>
              </w:rPr>
              <w:t xml:space="preserve">Options for relapsed or refractory (RR) CLL for whom fludarabine-containing chemotherapy is inappropriate include chemoimmunotherapy with </w:t>
            </w:r>
            <w:proofErr w:type="spellStart"/>
            <w:r w:rsidRPr="009C0339">
              <w:rPr>
                <w:sz w:val="18"/>
                <w:szCs w:val="18"/>
              </w:rPr>
              <w:t>bendamustine</w:t>
            </w:r>
            <w:proofErr w:type="spellEnd"/>
            <w:r w:rsidRPr="009C0339">
              <w:rPr>
                <w:sz w:val="18"/>
                <w:szCs w:val="18"/>
              </w:rPr>
              <w:t xml:space="preserve"> in combination with rituximab (BR, funded in some provinces), as well as novel agents including ibrutinib (funded in all provinces), and </w:t>
            </w:r>
            <w:proofErr w:type="spellStart"/>
            <w:r w:rsidRPr="009C0339">
              <w:rPr>
                <w:sz w:val="18"/>
                <w:szCs w:val="18"/>
              </w:rPr>
              <w:t>idelalisib</w:t>
            </w:r>
            <w:proofErr w:type="spellEnd"/>
            <w:r w:rsidRPr="009C0339">
              <w:rPr>
                <w:sz w:val="18"/>
                <w:szCs w:val="18"/>
              </w:rPr>
              <w:t xml:space="preserve"> in combination with rituximab (funded in most provinces).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2" w:name="_Toc291572531"/>
      <w:bookmarkStart w:id="3"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2"/>
      <w:bookmarkEnd w:id="3"/>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4" w:name="_Toc439923597"/>
      <w:bookmarkStart w:id="5"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4"/>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487D0EAD" w:rsidR="0097124E" w:rsidRPr="00FB7DDE" w:rsidRDefault="002428F1" w:rsidP="00FB7DD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5"/>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BC506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6" w:name="_Toc291572533"/>
      <w:r w:rsidRPr="00EB0EEF">
        <w:rPr>
          <w:rFonts w:ascii="Arial" w:hAnsi="Arial" w:cs="Arial"/>
          <w:spacing w:val="0"/>
          <w:sz w:val="18"/>
        </w:rPr>
        <w:lastRenderedPageBreak/>
        <w:t xml:space="preserve">  </w:t>
      </w:r>
      <w:bookmarkStart w:id="7" w:name="_Toc439923600"/>
      <w:bookmarkEnd w:id="6"/>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7"/>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15D52E7F" w14:textId="24868D27" w:rsidR="004747F6" w:rsidRPr="00912B81" w:rsidRDefault="009C0339" w:rsidP="00912B81">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 xml:space="preserve">Under what circumstances would </w:t>
      </w:r>
      <w:proofErr w:type="spellStart"/>
      <w:r>
        <w:rPr>
          <w:rFonts w:ascii="Arial" w:eastAsia="Times New Roman" w:hAnsi="Arial" w:cs="Arial"/>
          <w:b/>
          <w:sz w:val="18"/>
          <w:szCs w:val="18"/>
        </w:rPr>
        <w:t>acalabrutinib</w:t>
      </w:r>
      <w:proofErr w:type="spellEnd"/>
      <w:r>
        <w:rPr>
          <w:rFonts w:ascii="Arial" w:eastAsia="Times New Roman" w:hAnsi="Arial" w:cs="Arial"/>
          <w:b/>
          <w:sz w:val="18"/>
          <w:szCs w:val="18"/>
        </w:rPr>
        <w:t xml:space="preserve"> be preferred over </w:t>
      </w:r>
      <w:proofErr w:type="spellStart"/>
      <w:r>
        <w:rPr>
          <w:rFonts w:ascii="Arial" w:eastAsia="Times New Roman" w:hAnsi="Arial" w:cs="Arial"/>
          <w:b/>
          <w:sz w:val="18"/>
          <w:szCs w:val="18"/>
        </w:rPr>
        <w:t>idelalisib+rituximab</w:t>
      </w:r>
      <w:proofErr w:type="spellEnd"/>
      <w:r>
        <w:rPr>
          <w:rFonts w:ascii="Arial" w:eastAsia="Times New Roman" w:hAnsi="Arial" w:cs="Arial"/>
          <w:b/>
          <w:sz w:val="18"/>
          <w:szCs w:val="18"/>
        </w:rPr>
        <w:t xml:space="preserve">, ibrutinib, or </w:t>
      </w:r>
      <w:proofErr w:type="spellStart"/>
      <w:r>
        <w:rPr>
          <w:rFonts w:ascii="Arial" w:eastAsia="Times New Roman" w:hAnsi="Arial" w:cs="Arial"/>
          <w:b/>
          <w:sz w:val="18"/>
          <w:szCs w:val="18"/>
        </w:rPr>
        <w:t>venetoclax+rituximab</w:t>
      </w:r>
      <w:proofErr w:type="spellEnd"/>
      <w:r>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8" w:name="_Toc439923601"/>
    </w:p>
    <w:p w14:paraId="6D617173" w14:textId="7C8A048E" w:rsidR="00E5014E" w:rsidRPr="00912B81" w:rsidRDefault="009C0339" w:rsidP="00E5014E">
      <w:pPr>
        <w:pStyle w:val="ListParagraph"/>
        <w:numPr>
          <w:ilvl w:val="0"/>
          <w:numId w:val="42"/>
        </w:numPr>
        <w:rPr>
          <w:rFonts w:ascii="Arial" w:eastAsia="Times New Roman" w:hAnsi="Arial" w:cs="Arial"/>
          <w:b/>
          <w:sz w:val="18"/>
          <w:szCs w:val="18"/>
        </w:rPr>
      </w:pPr>
      <w:r w:rsidRPr="009C0339">
        <w:rPr>
          <w:rFonts w:ascii="Arial" w:eastAsia="Times New Roman" w:hAnsi="Arial" w:cs="Arial"/>
          <w:b/>
          <w:sz w:val="18"/>
          <w:szCs w:val="18"/>
        </w:rPr>
        <w:t>Is there information on cross-resistance between BTK inhibitors that could inform whether one can be used when the other has failed?</w:t>
      </w:r>
      <w:r w:rsidR="00FB7DDE">
        <w:rPr>
          <w:rFonts w:ascii="Arial" w:eastAsia="Times New Roman" w:hAnsi="Arial" w:cs="Arial"/>
          <w:b/>
          <w:sz w:val="18"/>
          <w:szCs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526C33FB" w14:textId="77777777" w:rsidR="00894FA0" w:rsidRDefault="00894FA0" w:rsidP="00894FA0">
      <w:pPr>
        <w:pStyle w:val="ListParagraph"/>
        <w:ind w:left="938"/>
        <w:rPr>
          <w:rFonts w:ascii="Arial" w:eastAsia="Times New Roman" w:hAnsi="Arial" w:cs="Arial"/>
          <w:b/>
          <w:sz w:val="18"/>
          <w:szCs w:val="18"/>
        </w:rPr>
      </w:pPr>
    </w:p>
    <w:p w14:paraId="7969128B" w14:textId="4F65E1BF" w:rsidR="0097124E" w:rsidRPr="00912B81" w:rsidRDefault="009C0339" w:rsidP="0097124E">
      <w:pPr>
        <w:pStyle w:val="ListParagraph"/>
        <w:numPr>
          <w:ilvl w:val="0"/>
          <w:numId w:val="42"/>
        </w:numPr>
        <w:rPr>
          <w:rFonts w:ascii="Arial" w:eastAsia="Times New Roman" w:hAnsi="Arial" w:cs="Arial"/>
          <w:b/>
          <w:sz w:val="18"/>
          <w:szCs w:val="18"/>
        </w:rPr>
      </w:pPr>
      <w:r w:rsidRPr="009C0339">
        <w:rPr>
          <w:rFonts w:ascii="Arial" w:eastAsia="Times New Roman" w:hAnsi="Arial" w:cs="Arial"/>
          <w:b/>
          <w:sz w:val="18"/>
          <w:szCs w:val="18"/>
        </w:rPr>
        <w:t xml:space="preserve">Is there clinician interest and evidence to support using </w:t>
      </w:r>
      <w:proofErr w:type="spellStart"/>
      <w:r w:rsidRPr="009C0339">
        <w:rPr>
          <w:rFonts w:ascii="Arial" w:eastAsia="Times New Roman" w:hAnsi="Arial" w:cs="Arial"/>
          <w:b/>
          <w:sz w:val="18"/>
          <w:szCs w:val="18"/>
        </w:rPr>
        <w:t>venetoclax</w:t>
      </w:r>
      <w:proofErr w:type="spellEnd"/>
      <w:r w:rsidRPr="009C0339">
        <w:rPr>
          <w:rFonts w:ascii="Arial" w:eastAsia="Times New Roman" w:hAnsi="Arial" w:cs="Arial"/>
          <w:b/>
          <w:sz w:val="18"/>
          <w:szCs w:val="18"/>
        </w:rPr>
        <w:t xml:space="preserve"> + rituximab in patients who failed </w:t>
      </w:r>
      <w:proofErr w:type="spellStart"/>
      <w:r w:rsidRPr="009C0339">
        <w:rPr>
          <w:rFonts w:ascii="Arial" w:eastAsia="Times New Roman" w:hAnsi="Arial" w:cs="Arial"/>
          <w:b/>
          <w:sz w:val="18"/>
          <w:szCs w:val="18"/>
        </w:rPr>
        <w:t>acalabrutinib</w:t>
      </w:r>
      <w:proofErr w:type="spellEnd"/>
      <w:r w:rsidRPr="009C0339">
        <w:rPr>
          <w:rFonts w:ascii="Arial" w:eastAsia="Times New Roman" w:hAnsi="Arial" w:cs="Arial"/>
          <w:b/>
          <w:sz w:val="18"/>
          <w:szCs w:val="18"/>
        </w:rPr>
        <w:t>, or vice versa?</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97124E" w:rsidRPr="000A56A6" w14:paraId="094C466D" w14:textId="77777777" w:rsidTr="00FB7DDE">
        <w:tc>
          <w:tcPr>
            <w:tcW w:w="9940" w:type="dxa"/>
          </w:tcPr>
          <w:p w14:paraId="4EF95D20" w14:textId="77777777" w:rsidR="0097124E" w:rsidRPr="000A56A6" w:rsidRDefault="0097124E" w:rsidP="006A5B21">
            <w:pPr>
              <w:rPr>
                <w:rFonts w:ascii="Arial" w:hAnsi="Arial" w:cs="Arial"/>
                <w:sz w:val="22"/>
                <w:szCs w:val="22"/>
              </w:rPr>
            </w:pPr>
          </w:p>
          <w:p w14:paraId="4F766D90" w14:textId="77777777" w:rsidR="0097124E" w:rsidRPr="000A56A6" w:rsidRDefault="0097124E" w:rsidP="006A5B21">
            <w:pPr>
              <w:rPr>
                <w:rFonts w:ascii="Arial" w:hAnsi="Arial" w:cs="Arial"/>
                <w:sz w:val="22"/>
                <w:szCs w:val="22"/>
              </w:rPr>
            </w:pPr>
          </w:p>
          <w:p w14:paraId="0D561E75" w14:textId="77777777" w:rsidR="0097124E" w:rsidRPr="000A56A6" w:rsidRDefault="0097124E" w:rsidP="006A5B21">
            <w:pPr>
              <w:rPr>
                <w:rFonts w:ascii="Arial" w:hAnsi="Arial" w:cs="Arial"/>
                <w:sz w:val="22"/>
                <w:szCs w:val="22"/>
              </w:rPr>
            </w:pPr>
          </w:p>
          <w:p w14:paraId="3BDB2C9F" w14:textId="77777777" w:rsidR="0097124E" w:rsidRPr="000A56A6" w:rsidRDefault="0097124E" w:rsidP="006A5B21">
            <w:pPr>
              <w:rPr>
                <w:rFonts w:ascii="Arial" w:hAnsi="Arial" w:cs="Arial"/>
                <w:sz w:val="22"/>
                <w:szCs w:val="22"/>
              </w:rPr>
            </w:pPr>
          </w:p>
          <w:p w14:paraId="624B997D" w14:textId="77777777" w:rsidR="0097124E" w:rsidRPr="000A56A6" w:rsidRDefault="0097124E" w:rsidP="006A5B21">
            <w:pPr>
              <w:rPr>
                <w:rFonts w:ascii="Arial" w:hAnsi="Arial" w:cs="Arial"/>
                <w:sz w:val="22"/>
                <w:szCs w:val="22"/>
              </w:rPr>
            </w:pPr>
          </w:p>
        </w:tc>
      </w:tr>
    </w:tbl>
    <w:p w14:paraId="12253968" w14:textId="77777777" w:rsidR="00FB7DDE" w:rsidRDefault="00FB7DDE" w:rsidP="00FB7DDE">
      <w:pPr>
        <w:pStyle w:val="ListParagraph"/>
        <w:ind w:left="938"/>
        <w:rPr>
          <w:rFonts w:ascii="Arial" w:eastAsia="Times New Roman" w:hAnsi="Arial" w:cs="Arial"/>
          <w:b/>
          <w:sz w:val="18"/>
          <w:szCs w:val="18"/>
        </w:rPr>
      </w:pPr>
    </w:p>
    <w:p w14:paraId="39180EE4" w14:textId="64450DAF" w:rsidR="00FB7DDE" w:rsidRPr="00912B81" w:rsidRDefault="009C0339" w:rsidP="00FB7DDE">
      <w:pPr>
        <w:pStyle w:val="ListParagraph"/>
        <w:numPr>
          <w:ilvl w:val="0"/>
          <w:numId w:val="42"/>
        </w:numPr>
        <w:rPr>
          <w:rFonts w:ascii="Arial" w:eastAsia="Times New Roman" w:hAnsi="Arial" w:cs="Arial"/>
          <w:b/>
          <w:sz w:val="18"/>
          <w:szCs w:val="18"/>
        </w:rPr>
      </w:pPr>
      <w:r w:rsidRPr="009C0339">
        <w:rPr>
          <w:rFonts w:ascii="Arial" w:eastAsia="Times New Roman" w:hAnsi="Arial" w:cs="Arial"/>
          <w:b/>
          <w:sz w:val="18"/>
          <w:szCs w:val="18"/>
        </w:rPr>
        <w:t xml:space="preserve">Currently, </w:t>
      </w:r>
      <w:proofErr w:type="spellStart"/>
      <w:r w:rsidRPr="009C0339">
        <w:rPr>
          <w:rFonts w:ascii="Arial" w:eastAsia="Times New Roman" w:hAnsi="Arial" w:cs="Arial"/>
          <w:b/>
          <w:sz w:val="18"/>
          <w:szCs w:val="18"/>
        </w:rPr>
        <w:t>idelalisib</w:t>
      </w:r>
      <w:proofErr w:type="spellEnd"/>
      <w:r w:rsidRPr="009C0339">
        <w:rPr>
          <w:rFonts w:ascii="Arial" w:eastAsia="Times New Roman" w:hAnsi="Arial" w:cs="Arial"/>
          <w:b/>
          <w:sz w:val="18"/>
          <w:szCs w:val="18"/>
        </w:rPr>
        <w:t xml:space="preserve"> plus rituximab is not given after progression on ibrutinib. Would the same limitation apply after progression on </w:t>
      </w:r>
      <w:proofErr w:type="spellStart"/>
      <w:r w:rsidRPr="009C0339">
        <w:rPr>
          <w:rFonts w:ascii="Arial" w:eastAsia="Times New Roman" w:hAnsi="Arial" w:cs="Arial"/>
          <w:b/>
          <w:sz w:val="18"/>
          <w:szCs w:val="18"/>
        </w:rPr>
        <w:t>acalabrutinib</w:t>
      </w:r>
      <w:proofErr w:type="spellEnd"/>
      <w:r w:rsidRPr="009C0339">
        <w:rPr>
          <w:rFonts w:ascii="Arial" w:eastAsia="Times New Roman" w:hAnsi="Arial" w:cs="Arial"/>
          <w:b/>
          <w:sz w:val="18"/>
          <w:szCs w:val="18"/>
        </w:rPr>
        <w:t xml:space="preserve"> in clinical practice?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FB7DDE" w:rsidRPr="000A56A6" w14:paraId="1B9BD914" w14:textId="77777777" w:rsidTr="00FB7DDE">
        <w:tc>
          <w:tcPr>
            <w:tcW w:w="9940" w:type="dxa"/>
          </w:tcPr>
          <w:p w14:paraId="6B001EF0" w14:textId="77777777" w:rsidR="00FB7DDE" w:rsidRPr="000A56A6" w:rsidRDefault="00FB7DDE" w:rsidP="00252A70">
            <w:pPr>
              <w:rPr>
                <w:rFonts w:ascii="Arial" w:hAnsi="Arial" w:cs="Arial"/>
                <w:sz w:val="22"/>
                <w:szCs w:val="22"/>
              </w:rPr>
            </w:pPr>
          </w:p>
          <w:p w14:paraId="7EAFBC6B" w14:textId="77777777" w:rsidR="00FB7DDE" w:rsidRPr="000A56A6" w:rsidRDefault="00FB7DDE" w:rsidP="00252A70">
            <w:pPr>
              <w:rPr>
                <w:rFonts w:ascii="Arial" w:hAnsi="Arial" w:cs="Arial"/>
                <w:sz w:val="22"/>
                <w:szCs w:val="22"/>
              </w:rPr>
            </w:pPr>
          </w:p>
          <w:p w14:paraId="36DC4FFB" w14:textId="77777777" w:rsidR="00FB7DDE" w:rsidRPr="000A56A6" w:rsidRDefault="00FB7DDE" w:rsidP="00252A70">
            <w:pPr>
              <w:rPr>
                <w:rFonts w:ascii="Arial" w:hAnsi="Arial" w:cs="Arial"/>
                <w:sz w:val="22"/>
                <w:szCs w:val="22"/>
              </w:rPr>
            </w:pPr>
          </w:p>
          <w:p w14:paraId="3CF51472" w14:textId="77777777" w:rsidR="00FB7DDE" w:rsidRPr="000A56A6" w:rsidRDefault="00FB7DDE" w:rsidP="00252A70">
            <w:pPr>
              <w:rPr>
                <w:rFonts w:ascii="Arial" w:hAnsi="Arial" w:cs="Arial"/>
                <w:sz w:val="22"/>
                <w:szCs w:val="22"/>
              </w:rPr>
            </w:pPr>
          </w:p>
          <w:p w14:paraId="211E1F19" w14:textId="77777777" w:rsidR="00FB7DDE" w:rsidRPr="000A56A6" w:rsidRDefault="00FB7DDE" w:rsidP="00252A70">
            <w:pPr>
              <w:rPr>
                <w:rFonts w:ascii="Arial" w:hAnsi="Arial" w:cs="Arial"/>
                <w:sz w:val="22"/>
                <w:szCs w:val="22"/>
              </w:rPr>
            </w:pPr>
          </w:p>
        </w:tc>
      </w:tr>
    </w:tbl>
    <w:p w14:paraId="38140E38" w14:textId="77777777" w:rsidR="00FB7DDE" w:rsidRDefault="00FB7DDE" w:rsidP="00FB7DDE">
      <w:pPr>
        <w:pStyle w:val="ListParagraph"/>
        <w:ind w:left="938"/>
        <w:rPr>
          <w:rFonts w:ascii="Arial" w:eastAsia="Times New Roman" w:hAnsi="Arial" w:cs="Arial"/>
          <w:b/>
          <w:sz w:val="18"/>
          <w:szCs w:val="18"/>
        </w:rPr>
      </w:pPr>
    </w:p>
    <w:p w14:paraId="4A9E0032" w14:textId="14C946AF"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lastRenderedPageBreak/>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8"/>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9" w:name="_Toc439923602"/>
    </w:p>
    <w:p w14:paraId="11476786" w14:textId="77777777" w:rsidR="00A4366E" w:rsidRDefault="00A4366E">
      <w:pPr>
        <w:rPr>
          <w:rFonts w:ascii="Arial" w:eastAsia="Times New Roman" w:hAnsi="Arial" w:cs="Arial"/>
          <w:b/>
          <w:color w:val="0067B9"/>
          <w:sz w:val="24"/>
          <w:szCs w:val="28"/>
        </w:rPr>
      </w:pPr>
      <w:bookmarkStart w:id="10" w:name="_Toc439923603"/>
      <w:bookmarkEnd w:id="9"/>
      <w:r>
        <w:rPr>
          <w:b/>
          <w:color w:val="0067B9"/>
          <w:sz w:val="24"/>
          <w:szCs w:val="28"/>
        </w:rPr>
        <w:br w:type="page"/>
      </w:r>
    </w:p>
    <w:p w14:paraId="179EB68B" w14:textId="0488DB08"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23CCB9BD" w14:textId="77777777" w:rsidR="00A4366E" w:rsidRPr="000028EA" w:rsidRDefault="00A4366E" w:rsidP="00A4366E">
      <w:pPr>
        <w:pStyle w:val="pCODR1Body"/>
        <w:numPr>
          <w:ilvl w:val="0"/>
          <w:numId w:val="40"/>
        </w:numPr>
        <w:ind w:left="360"/>
        <w:rPr>
          <w:rFonts w:ascii="Arial" w:hAnsi="Arial" w:cs="Arial"/>
          <w:sz w:val="18"/>
          <w:szCs w:val="18"/>
        </w:rPr>
      </w:pPr>
      <w:r w:rsidRPr="000028EA">
        <w:rPr>
          <w:rFonts w:ascii="Arial" w:hAnsi="Arial" w:cs="Arial"/>
          <w:sz w:val="18"/>
          <w:szCs w:val="18"/>
        </w:rPr>
        <w:t xml:space="preserve">Please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A4366E" w:rsidRPr="00942AE0" w14:paraId="220ECFD2"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7FFE3CDB"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57719C69"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C8A55EA" w14:textId="77777777" w:rsidR="00A4366E" w:rsidRPr="00942AE0" w:rsidRDefault="00A4366E"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A4366E" w:rsidRPr="00942AE0" w14:paraId="6DCDB598"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D476EA7" w14:textId="77777777" w:rsidR="00A4366E" w:rsidRPr="00942AE0" w:rsidRDefault="00A4366E"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286CBB76"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6E605995"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59A06B"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666BE2F0"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53EE08A0" w14:textId="77777777" w:rsidR="00A4366E" w:rsidRPr="00942AE0" w:rsidRDefault="00A4366E"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A4366E" w:rsidRPr="00942AE0" w14:paraId="3F83AA1C"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07BC6F66" w14:textId="77777777" w:rsidR="00A4366E" w:rsidRPr="00942AE0" w:rsidRDefault="00A4366E"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30A542D" w14:textId="77777777" w:rsidR="00A4366E" w:rsidRPr="00942AE0" w:rsidRDefault="00A4366E"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1E4C1E10" w14:textId="77777777" w:rsidR="00A4366E" w:rsidRPr="00942AE0" w:rsidRDefault="00BC506E"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92A0BE0"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A4366E"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0D1675D5"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31B31D9C"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r>
      <w:tr w:rsidR="00A4366E" w:rsidRPr="00942AE0" w14:paraId="0FD2A739"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3921D61B" w14:textId="77777777" w:rsidR="00A4366E" w:rsidRPr="00942AE0" w:rsidRDefault="00A4366E"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21F8CCB" w14:textId="77777777" w:rsidR="00A4366E" w:rsidRPr="00942AE0" w:rsidRDefault="00A4366E"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6F69306B"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31736F8F"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48B9000"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69201BAD"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r>
      <w:tr w:rsidR="00A4366E" w:rsidRPr="00942AE0" w14:paraId="46BBD4D9"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F65F459" w14:textId="77777777" w:rsidR="00A4366E" w:rsidRPr="00942AE0" w:rsidRDefault="00A4366E"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255BCE7A" w14:textId="77777777" w:rsidR="00A4366E" w:rsidRPr="00942AE0" w:rsidRDefault="00A4366E"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E0CF77C"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27F2FBB"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4456F10D"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66A4A93" w14:textId="77777777" w:rsidR="00A4366E" w:rsidRPr="00942AE0" w:rsidRDefault="00BC506E"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A4366E" w:rsidRPr="00942AE0">
                  <w:rPr>
                    <w:rFonts w:ascii="MS Gothic" w:eastAsia="MS Gothic" w:hAnsi="MS Gothic" w:hint="eastAsia"/>
                    <w:sz w:val="18"/>
                    <w:szCs w:val="18"/>
                  </w:rPr>
                  <w:t>☐</w:t>
                </w:r>
              </w:sdtContent>
            </w:sdt>
          </w:p>
        </w:tc>
      </w:tr>
    </w:tbl>
    <w:p w14:paraId="2EE174CE" w14:textId="77777777" w:rsidR="00A4366E" w:rsidRPr="000028EA" w:rsidRDefault="00A4366E" w:rsidP="00A4366E">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1A4AD2DD" w14:textId="77777777" w:rsidR="00A4366E" w:rsidRPr="000028EA" w:rsidRDefault="00A4366E" w:rsidP="00A4366E">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A4366E" w14:paraId="0CFB106D" w14:textId="77777777" w:rsidTr="00A37B00">
        <w:tc>
          <w:tcPr>
            <w:tcW w:w="10706" w:type="dxa"/>
          </w:tcPr>
          <w:p w14:paraId="43881B76" w14:textId="77777777" w:rsidR="00A4366E" w:rsidRDefault="00A4366E" w:rsidP="00A37B00">
            <w:pPr>
              <w:pStyle w:val="pCODR1Body"/>
              <w:rPr>
                <w:rFonts w:ascii="Arial" w:hAnsi="Arial" w:cs="Arial"/>
                <w:sz w:val="18"/>
                <w:szCs w:val="18"/>
                <w:lang w:val="en-US"/>
              </w:rPr>
            </w:pPr>
          </w:p>
          <w:p w14:paraId="57925A07" w14:textId="77777777" w:rsidR="00A4366E" w:rsidRDefault="00A4366E" w:rsidP="00A37B00">
            <w:pPr>
              <w:pStyle w:val="pCODR1Body"/>
              <w:rPr>
                <w:rFonts w:ascii="Arial" w:hAnsi="Arial" w:cs="Arial"/>
                <w:sz w:val="18"/>
                <w:szCs w:val="18"/>
                <w:lang w:val="en-US"/>
              </w:rPr>
            </w:pPr>
          </w:p>
          <w:p w14:paraId="2494A86B" w14:textId="77777777" w:rsidR="00A4366E" w:rsidRDefault="00A4366E" w:rsidP="00A37B00">
            <w:pPr>
              <w:pStyle w:val="pCODR1Body"/>
              <w:rPr>
                <w:rFonts w:ascii="Arial" w:hAnsi="Arial" w:cs="Arial"/>
                <w:sz w:val="18"/>
                <w:szCs w:val="18"/>
                <w:lang w:val="en-US"/>
              </w:rPr>
            </w:pPr>
          </w:p>
          <w:p w14:paraId="760DDD98" w14:textId="77777777" w:rsidR="00A4366E" w:rsidRDefault="00A4366E" w:rsidP="00A37B00">
            <w:pPr>
              <w:pStyle w:val="pCODR1Body"/>
              <w:rPr>
                <w:rFonts w:ascii="Arial" w:hAnsi="Arial" w:cs="Arial"/>
                <w:sz w:val="18"/>
                <w:szCs w:val="18"/>
                <w:lang w:val="en-US"/>
              </w:rPr>
            </w:pPr>
          </w:p>
        </w:tc>
      </w:tr>
    </w:tbl>
    <w:p w14:paraId="16B1D0FC" w14:textId="77777777" w:rsidR="00A4366E" w:rsidRDefault="00A4366E" w:rsidP="00A4366E">
      <w:pPr>
        <w:pStyle w:val="pCODR1Body"/>
        <w:rPr>
          <w:rFonts w:ascii="Arial" w:hAnsi="Arial" w:cs="Arial"/>
          <w:sz w:val="18"/>
          <w:szCs w:val="18"/>
          <w:lang w:val="en-US"/>
        </w:rPr>
      </w:pPr>
    </w:p>
    <w:p w14:paraId="3EAB0D8B" w14:textId="77777777" w:rsidR="00A4366E" w:rsidRPr="000028EA" w:rsidRDefault="00A4366E" w:rsidP="00A4366E">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4333579A" w14:textId="77777777" w:rsidR="00A4366E" w:rsidRPr="000028EA" w:rsidRDefault="00A4366E" w:rsidP="00A4366E">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A4366E" w14:paraId="182F579D" w14:textId="77777777" w:rsidTr="00A37B00">
        <w:tc>
          <w:tcPr>
            <w:tcW w:w="10706" w:type="dxa"/>
          </w:tcPr>
          <w:p w14:paraId="23B47B13" w14:textId="77777777" w:rsidR="00A4366E" w:rsidRDefault="00A4366E" w:rsidP="00A37B00">
            <w:pPr>
              <w:pStyle w:val="Default"/>
              <w:rPr>
                <w:sz w:val="18"/>
                <w:szCs w:val="18"/>
              </w:rPr>
            </w:pPr>
          </w:p>
          <w:p w14:paraId="5DE2505B" w14:textId="77777777" w:rsidR="00A4366E" w:rsidRDefault="00A4366E" w:rsidP="00A37B00">
            <w:pPr>
              <w:pStyle w:val="Default"/>
              <w:rPr>
                <w:sz w:val="18"/>
                <w:szCs w:val="18"/>
              </w:rPr>
            </w:pPr>
          </w:p>
          <w:p w14:paraId="4E31A5B3" w14:textId="77777777" w:rsidR="00A4366E" w:rsidRDefault="00A4366E" w:rsidP="00A37B00">
            <w:pPr>
              <w:pStyle w:val="Default"/>
              <w:rPr>
                <w:sz w:val="18"/>
                <w:szCs w:val="18"/>
              </w:rPr>
            </w:pPr>
          </w:p>
          <w:p w14:paraId="61AE9A6B" w14:textId="77777777" w:rsidR="00A4366E" w:rsidRDefault="00A4366E" w:rsidP="00A37B00">
            <w:pPr>
              <w:pStyle w:val="Default"/>
              <w:rPr>
                <w:sz w:val="18"/>
                <w:szCs w:val="18"/>
              </w:rPr>
            </w:pPr>
          </w:p>
          <w:p w14:paraId="0266E546" w14:textId="77777777" w:rsidR="00A4366E" w:rsidRDefault="00A4366E" w:rsidP="00A37B00">
            <w:pPr>
              <w:pStyle w:val="Default"/>
              <w:rPr>
                <w:sz w:val="18"/>
                <w:szCs w:val="18"/>
              </w:rPr>
            </w:pPr>
          </w:p>
          <w:p w14:paraId="40765F35" w14:textId="77777777" w:rsidR="00A4366E" w:rsidRDefault="00A4366E" w:rsidP="00A37B00">
            <w:pPr>
              <w:pStyle w:val="Default"/>
              <w:rPr>
                <w:sz w:val="18"/>
                <w:szCs w:val="18"/>
              </w:rPr>
            </w:pPr>
          </w:p>
        </w:tc>
      </w:tr>
    </w:tbl>
    <w:p w14:paraId="6B40E6F8" w14:textId="77777777" w:rsidR="00A4366E" w:rsidRPr="000028EA" w:rsidRDefault="00A4366E" w:rsidP="00A4366E">
      <w:pPr>
        <w:pStyle w:val="Default"/>
        <w:rPr>
          <w:sz w:val="18"/>
          <w:szCs w:val="18"/>
        </w:rPr>
      </w:pPr>
    </w:p>
    <w:p w14:paraId="33E99621" w14:textId="77777777" w:rsidR="00A4366E" w:rsidRPr="000028EA" w:rsidRDefault="00A4366E" w:rsidP="00A4366E">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A4366E" w14:paraId="0F9708B0" w14:textId="77777777" w:rsidTr="00A37B00">
        <w:tc>
          <w:tcPr>
            <w:tcW w:w="7083" w:type="dxa"/>
          </w:tcPr>
          <w:p w14:paraId="23314855" w14:textId="77777777" w:rsidR="00A4366E" w:rsidRDefault="00A4366E"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34B09E46" w14:textId="77777777" w:rsidR="00A4366E" w:rsidRPr="00335051" w:rsidRDefault="00BC506E"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A4366E">
                  <w:rPr>
                    <w:rFonts w:ascii="MS Gothic" w:eastAsia="MS Gothic" w:hAnsi="MS Gothic" w:hint="eastAsia"/>
                    <w:sz w:val="22"/>
                  </w:rPr>
                  <w:t>☐</w:t>
                </w:r>
              </w:sdtContent>
            </w:sdt>
          </w:p>
          <w:p w14:paraId="76B4C283" w14:textId="77777777" w:rsidR="00A4366E" w:rsidRDefault="00A4366E" w:rsidP="00A37B00">
            <w:pPr>
              <w:pStyle w:val="Default"/>
              <w:rPr>
                <w:sz w:val="18"/>
              </w:rPr>
            </w:pPr>
          </w:p>
        </w:tc>
      </w:tr>
    </w:tbl>
    <w:p w14:paraId="30350D66" w14:textId="77777777" w:rsidR="00A4366E" w:rsidRDefault="00A4366E" w:rsidP="00A4366E">
      <w:pPr>
        <w:pStyle w:val="Default"/>
        <w:ind w:left="400"/>
        <w:rPr>
          <w:sz w:val="18"/>
          <w:szCs w:val="18"/>
          <w:lang w:val="en-CA"/>
        </w:rPr>
      </w:pPr>
    </w:p>
    <w:p w14:paraId="7E4FC423" w14:textId="77777777" w:rsidR="00A4366E" w:rsidRPr="00335051" w:rsidRDefault="00A4366E" w:rsidP="00A4366E">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A4366E" w:rsidRPr="00EB0EEF" w14:paraId="6A182ADE" w14:textId="77777777" w:rsidTr="00A37B00">
        <w:tc>
          <w:tcPr>
            <w:tcW w:w="1960" w:type="pct"/>
            <w:tcBorders>
              <w:bottom w:val="single" w:sz="4" w:space="0" w:color="000000" w:themeColor="text1"/>
            </w:tcBorders>
          </w:tcPr>
          <w:p w14:paraId="55247ADC" w14:textId="77777777" w:rsidR="00A4366E" w:rsidRPr="00EB0EEF" w:rsidRDefault="00A4366E" w:rsidP="00A37B00">
            <w:pPr>
              <w:rPr>
                <w:rFonts w:ascii="Arial" w:hAnsi="Arial" w:cs="Arial"/>
              </w:rPr>
            </w:pPr>
          </w:p>
        </w:tc>
        <w:tc>
          <w:tcPr>
            <w:tcW w:w="273" w:type="pct"/>
          </w:tcPr>
          <w:p w14:paraId="738A2568" w14:textId="77777777" w:rsidR="00A4366E" w:rsidRPr="00EB0EEF" w:rsidRDefault="00A4366E" w:rsidP="00A37B00">
            <w:pPr>
              <w:rPr>
                <w:rFonts w:ascii="Arial" w:hAnsi="Arial" w:cs="Arial"/>
              </w:rPr>
            </w:pPr>
          </w:p>
        </w:tc>
        <w:tc>
          <w:tcPr>
            <w:tcW w:w="2473" w:type="pct"/>
            <w:tcBorders>
              <w:bottom w:val="single" w:sz="4" w:space="0" w:color="auto"/>
            </w:tcBorders>
          </w:tcPr>
          <w:p w14:paraId="15C9FEAB" w14:textId="77777777" w:rsidR="00A4366E" w:rsidRPr="00EB0EEF" w:rsidRDefault="00A4366E" w:rsidP="00A37B00">
            <w:pPr>
              <w:rPr>
                <w:rFonts w:ascii="Arial" w:hAnsi="Arial" w:cs="Arial"/>
              </w:rPr>
            </w:pPr>
          </w:p>
        </w:tc>
        <w:tc>
          <w:tcPr>
            <w:tcW w:w="294" w:type="pct"/>
          </w:tcPr>
          <w:p w14:paraId="013BB194" w14:textId="77777777" w:rsidR="00A4366E" w:rsidRPr="00EB0EEF" w:rsidRDefault="00A4366E" w:rsidP="00A37B00">
            <w:pPr>
              <w:rPr>
                <w:rFonts w:ascii="Arial" w:hAnsi="Arial" w:cs="Arial"/>
              </w:rPr>
            </w:pPr>
          </w:p>
        </w:tc>
      </w:tr>
      <w:tr w:rsidR="00A4366E" w:rsidRPr="00EB0EEF" w14:paraId="427A78A3" w14:textId="77777777" w:rsidTr="00A37B00">
        <w:tc>
          <w:tcPr>
            <w:tcW w:w="1960" w:type="pct"/>
            <w:tcBorders>
              <w:top w:val="single" w:sz="4" w:space="0" w:color="000000" w:themeColor="text1"/>
            </w:tcBorders>
          </w:tcPr>
          <w:p w14:paraId="3C317804" w14:textId="77777777" w:rsidR="00A4366E" w:rsidRPr="00EB0EEF" w:rsidRDefault="00A4366E" w:rsidP="00A37B00">
            <w:pPr>
              <w:rPr>
                <w:rFonts w:ascii="Arial" w:hAnsi="Arial" w:cs="Arial"/>
                <w:sz w:val="18"/>
              </w:rPr>
            </w:pPr>
            <w:r>
              <w:rPr>
                <w:rFonts w:ascii="Arial" w:hAnsi="Arial" w:cs="Arial"/>
                <w:sz w:val="18"/>
              </w:rPr>
              <w:t>Date</w:t>
            </w:r>
          </w:p>
        </w:tc>
        <w:tc>
          <w:tcPr>
            <w:tcW w:w="273" w:type="pct"/>
          </w:tcPr>
          <w:p w14:paraId="50D60FF0" w14:textId="77777777" w:rsidR="00A4366E" w:rsidRPr="00EB0EEF" w:rsidRDefault="00A4366E" w:rsidP="00A37B00">
            <w:pPr>
              <w:rPr>
                <w:rFonts w:ascii="Arial" w:hAnsi="Arial" w:cs="Arial"/>
                <w:sz w:val="18"/>
              </w:rPr>
            </w:pPr>
          </w:p>
        </w:tc>
        <w:tc>
          <w:tcPr>
            <w:tcW w:w="2473" w:type="pct"/>
            <w:tcBorders>
              <w:top w:val="single" w:sz="4" w:space="0" w:color="auto"/>
            </w:tcBorders>
          </w:tcPr>
          <w:p w14:paraId="3F2E45E6" w14:textId="77777777" w:rsidR="00A4366E" w:rsidRPr="00EB0EEF" w:rsidRDefault="00A4366E" w:rsidP="00A37B00">
            <w:pPr>
              <w:rPr>
                <w:rFonts w:ascii="Arial" w:hAnsi="Arial" w:cs="Arial"/>
                <w:sz w:val="18"/>
              </w:rPr>
            </w:pPr>
            <w:r>
              <w:rPr>
                <w:rFonts w:ascii="Arial" w:hAnsi="Arial" w:cs="Arial"/>
                <w:sz w:val="18"/>
              </w:rPr>
              <w:t>Name</w:t>
            </w:r>
          </w:p>
        </w:tc>
        <w:tc>
          <w:tcPr>
            <w:tcW w:w="294" w:type="pct"/>
          </w:tcPr>
          <w:p w14:paraId="6D3C6EFB" w14:textId="77777777" w:rsidR="00A4366E" w:rsidRPr="00EB0EEF" w:rsidRDefault="00A4366E"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065E4"/>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4"/>
  </w:num>
  <w:num w:numId="16">
    <w:abstractNumId w:val="26"/>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5"/>
  </w:num>
  <w:num w:numId="44">
    <w:abstractNumId w:val="43"/>
  </w:num>
  <w:num w:numId="45">
    <w:abstractNumId w:val="20"/>
  </w:num>
  <w:num w:numId="46">
    <w:abstractNumId w:val="13"/>
  </w:num>
  <w:num w:numId="47">
    <w:abstractNumId w:val="33"/>
  </w:num>
  <w:num w:numId="48">
    <w:abstractNumId w:val="28"/>
  </w:num>
  <w:num w:numId="49">
    <w:abstractNumId w:val="36"/>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4C54"/>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698"/>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52C7"/>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36E2B"/>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47F6"/>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0339"/>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366E"/>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506E"/>
    <w:rsid w:val="00BC6BAB"/>
    <w:rsid w:val="00BE1B07"/>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4B37"/>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D723D"/>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B7DDE"/>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mo.org/Guidelines/Haematological-Malignancies/Chronic-Lymphocytic-Leukaem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nccn.org/view/journals/jnccn/17/1/article-p12.x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9703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6800-725F-4533-9128-C828C2C6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2020-03-05T16:08:00Z</dcterms:created>
  <dcterms:modified xsi:type="dcterms:W3CDTF">2020-03-06T15:43:00Z</dcterms:modified>
</cp:coreProperties>
</file>