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163933CB"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w:t>
            </w:r>
            <w:r w:rsidR="00593CA3">
              <w:rPr>
                <w:sz w:val="18"/>
                <w:szCs w:val="20"/>
              </w:rPr>
              <w:t>15</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1AE3EAA4" w:rsidR="00F369F8" w:rsidRPr="00CB5E8A" w:rsidRDefault="00593CA3" w:rsidP="00B073A2">
            <w:pPr>
              <w:pStyle w:val="DocumentTitle"/>
              <w:tabs>
                <w:tab w:val="left" w:pos="1074"/>
              </w:tabs>
              <w:spacing w:before="0" w:after="0"/>
              <w:rPr>
                <w:sz w:val="18"/>
                <w:szCs w:val="20"/>
              </w:rPr>
            </w:pPr>
            <w:proofErr w:type="spellStart"/>
            <w:r>
              <w:rPr>
                <w:sz w:val="18"/>
                <w:szCs w:val="20"/>
              </w:rPr>
              <w:t>Sonidegib</w:t>
            </w:r>
            <w:proofErr w:type="spellEnd"/>
            <w:r>
              <w:rPr>
                <w:sz w:val="18"/>
                <w:szCs w:val="20"/>
              </w:rPr>
              <w:t xml:space="preserve"> (</w:t>
            </w:r>
            <w:proofErr w:type="spellStart"/>
            <w:r>
              <w:rPr>
                <w:sz w:val="18"/>
                <w:szCs w:val="20"/>
              </w:rPr>
              <w:t>Odomzo</w:t>
            </w:r>
            <w:proofErr w:type="spellEnd"/>
            <w:r>
              <w:rPr>
                <w:sz w:val="18"/>
                <w:szCs w:val="20"/>
              </w:rPr>
              <w:t xml:space="preserve">) </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57DD1658" w:rsidR="007A2781" w:rsidRPr="00F60A6E" w:rsidRDefault="007A2781" w:rsidP="007A2781">
            <w:pPr>
              <w:pStyle w:val="DocumentTitle"/>
              <w:tabs>
                <w:tab w:val="left" w:pos="1074"/>
              </w:tabs>
              <w:spacing w:after="0"/>
              <w:rPr>
                <w:sz w:val="18"/>
                <w:szCs w:val="20"/>
              </w:rPr>
            </w:pPr>
            <w:r>
              <w:rPr>
                <w:sz w:val="18"/>
                <w:szCs w:val="20"/>
              </w:rPr>
              <w:t>F</w:t>
            </w:r>
            <w:r w:rsidRPr="007A2781">
              <w:rPr>
                <w:sz w:val="18"/>
                <w:szCs w:val="20"/>
              </w:rPr>
              <w:t>or the treatment of adult patients with locally advanced basal cell</w:t>
            </w:r>
            <w:r>
              <w:rPr>
                <w:sz w:val="18"/>
                <w:szCs w:val="20"/>
              </w:rPr>
              <w:t xml:space="preserve"> </w:t>
            </w:r>
            <w:r w:rsidRPr="007A2781">
              <w:rPr>
                <w:sz w:val="18"/>
                <w:szCs w:val="20"/>
              </w:rPr>
              <w:t>carcinoma that has recurred following surgery or radiation therapy, or those who are not candidates for surgery or radiation</w:t>
            </w:r>
            <w:r>
              <w:rPr>
                <w:sz w:val="18"/>
                <w:szCs w:val="20"/>
              </w:rPr>
              <w:t xml:space="preserve"> </w:t>
            </w:r>
            <w:r w:rsidRPr="007A2781">
              <w:rPr>
                <w:sz w:val="18"/>
                <w:szCs w:val="20"/>
              </w:rPr>
              <w:t>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29D94134" w14:textId="4295E912" w:rsidR="007A2781" w:rsidRPr="007A2781" w:rsidRDefault="007A2781" w:rsidP="007A2781">
            <w:pPr>
              <w:pStyle w:val="DocumentTitle"/>
              <w:tabs>
                <w:tab w:val="left" w:pos="1074"/>
              </w:tabs>
              <w:spacing w:after="0"/>
              <w:rPr>
                <w:sz w:val="18"/>
                <w:szCs w:val="20"/>
              </w:rPr>
            </w:pPr>
            <w:bookmarkStart w:id="0" w:name="_GoBack"/>
            <w:bookmarkEnd w:id="0"/>
            <w:r>
              <w:rPr>
                <w:sz w:val="18"/>
                <w:szCs w:val="20"/>
              </w:rPr>
              <w:t>F</w:t>
            </w:r>
            <w:r w:rsidRPr="007A2781">
              <w:rPr>
                <w:sz w:val="18"/>
                <w:szCs w:val="20"/>
              </w:rPr>
              <w:t>or the treatment of patients with locally advanced or metastatic basal cell carcinoma,</w:t>
            </w:r>
            <w:r>
              <w:rPr>
                <w:sz w:val="18"/>
                <w:szCs w:val="20"/>
              </w:rPr>
              <w:t xml:space="preserve"> </w:t>
            </w:r>
            <w:r w:rsidRPr="007A2781">
              <w:rPr>
                <w:sz w:val="18"/>
                <w:szCs w:val="20"/>
              </w:rPr>
              <w:t>who have measurable metastatic disease or locally advanced disease which is considered inoperable or inappropriate for</w:t>
            </w:r>
          </w:p>
          <w:p w14:paraId="09887E5F" w14:textId="0C810E0C" w:rsidR="00F81D31" w:rsidRPr="00F60A6E" w:rsidRDefault="007A2781" w:rsidP="007A2781">
            <w:pPr>
              <w:pStyle w:val="DocumentTitle"/>
              <w:tabs>
                <w:tab w:val="left" w:pos="1074"/>
              </w:tabs>
              <w:spacing w:before="0" w:after="0"/>
              <w:rPr>
                <w:sz w:val="18"/>
                <w:szCs w:val="18"/>
              </w:rPr>
            </w:pPr>
            <w:r w:rsidRPr="007A2781">
              <w:rPr>
                <w:sz w:val="18"/>
                <w:szCs w:val="20"/>
              </w:rPr>
              <w:t>surgery and inappropriate for radiotherapy</w:t>
            </w:r>
          </w:p>
        </w:tc>
      </w:tr>
      <w:tr w:rsidR="00F369F8" w:rsidRPr="00355BE0"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5B839F32" w:rsidR="00F60A6E" w:rsidRPr="00355BE0" w:rsidRDefault="00593CA3" w:rsidP="003D7447">
            <w:pPr>
              <w:pStyle w:val="DocumentTitle"/>
              <w:tabs>
                <w:tab w:val="left" w:pos="1074"/>
              </w:tabs>
              <w:spacing w:before="0" w:after="0"/>
              <w:rPr>
                <w:sz w:val="18"/>
                <w:szCs w:val="18"/>
                <w:lang w:val="fr-CA"/>
              </w:rPr>
            </w:pPr>
            <w:r w:rsidRPr="00593CA3">
              <w:rPr>
                <w:sz w:val="18"/>
                <w:szCs w:val="18"/>
              </w:rPr>
              <w:t>BOLT (</w:t>
            </w:r>
            <w:hyperlink r:id="rId14" w:tgtFrame="_blank" w:history="1">
              <w:r w:rsidRPr="00593CA3">
                <w:rPr>
                  <w:rStyle w:val="Hyperlink"/>
                  <w:sz w:val="18"/>
                  <w:szCs w:val="18"/>
                </w:rPr>
                <w:t>NCT01327053</w:t>
              </w:r>
            </w:hyperlink>
            <w:r w:rsidRPr="00593CA3">
              <w:rPr>
                <w:sz w:val="18"/>
                <w:szCs w:val="18"/>
              </w:rPr>
              <w:t>); </w:t>
            </w:r>
            <w:hyperlink r:id="rId15" w:tgtFrame="_blank" w:history="1">
              <w:r w:rsidRPr="00593CA3">
                <w:rPr>
                  <w:rStyle w:val="Hyperlink"/>
                  <w:sz w:val="18"/>
                  <w:szCs w:val="18"/>
                </w:rPr>
                <w:t>Lear et al., 2018</w:t>
              </w:r>
            </w:hyperlink>
            <w:r w:rsidRPr="00593CA3">
              <w:rPr>
                <w:sz w:val="18"/>
                <w:szCs w:val="18"/>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E433168" w:rsidR="002E1BF2" w:rsidRPr="00E12C1E" w:rsidRDefault="007C5D35" w:rsidP="005903D7">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6350BEC4" w:rsidR="007C5D35" w:rsidRPr="00F60A6E" w:rsidRDefault="007A2781" w:rsidP="007C5D35">
            <w:pPr>
              <w:pStyle w:val="DocumentTitle"/>
              <w:tabs>
                <w:tab w:val="left" w:pos="1074"/>
              </w:tabs>
              <w:spacing w:after="0"/>
              <w:rPr>
                <w:sz w:val="18"/>
                <w:szCs w:val="20"/>
              </w:rPr>
            </w:pPr>
            <w:hyperlink r:id="rId16" w:history="1">
              <w:r w:rsidR="00593CA3" w:rsidRPr="00593CA3">
                <w:rPr>
                  <w:rStyle w:val="Hyperlink"/>
                  <w:sz w:val="18"/>
                  <w:szCs w:val="20"/>
                </w:rPr>
                <w:t>Approved 24/07/2015</w:t>
              </w:r>
            </w:hyperlink>
            <w:r w:rsidR="00593CA3">
              <w:rPr>
                <w:sz w:val="18"/>
                <w:szCs w:val="20"/>
              </w:rPr>
              <w:t xml:space="preserve"> </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515935BE" w:rsidR="007C5D35" w:rsidRPr="00F60A6E" w:rsidRDefault="007A2781" w:rsidP="007C5D35">
            <w:pPr>
              <w:pStyle w:val="DocumentTitle"/>
              <w:tabs>
                <w:tab w:val="left" w:pos="1074"/>
              </w:tabs>
              <w:spacing w:before="0" w:after="0"/>
              <w:rPr>
                <w:sz w:val="18"/>
                <w:szCs w:val="20"/>
              </w:rPr>
            </w:pPr>
            <w:hyperlink r:id="rId17" w:anchor="authorisation-details-section" w:history="1">
              <w:r w:rsidR="00593CA3" w:rsidRPr="00593CA3">
                <w:rPr>
                  <w:rStyle w:val="Hyperlink"/>
                  <w:sz w:val="18"/>
                  <w:szCs w:val="20"/>
                </w:rPr>
                <w:t>Approved 14/08/2020</w:t>
              </w:r>
            </w:hyperlink>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5783B22B" w:rsidR="007C5D35" w:rsidRPr="00593CA3" w:rsidRDefault="007A2781" w:rsidP="007C5D35">
            <w:pPr>
              <w:pStyle w:val="DocumentTitle"/>
              <w:tabs>
                <w:tab w:val="left" w:pos="1074"/>
              </w:tabs>
              <w:spacing w:before="0" w:after="0"/>
              <w:rPr>
                <w:sz w:val="18"/>
                <w:szCs w:val="20"/>
              </w:rPr>
            </w:pPr>
            <w:hyperlink r:id="rId18" w:history="1">
              <w:r w:rsidR="00593CA3">
                <w:rPr>
                  <w:rStyle w:val="Hyperlink"/>
                  <w:sz w:val="18"/>
                  <w:szCs w:val="20"/>
                </w:rPr>
                <w:t>NCCN BCC v1.2020</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584C9F9B" w:rsidR="003D7447" w:rsidRPr="0097124E" w:rsidRDefault="00593CA3" w:rsidP="00C10325">
            <w:pPr>
              <w:pStyle w:val="DocumentTitle"/>
              <w:tabs>
                <w:tab w:val="left" w:pos="1074"/>
              </w:tabs>
              <w:spacing w:before="0" w:after="0"/>
              <w:rPr>
                <w:sz w:val="18"/>
                <w:szCs w:val="18"/>
              </w:rPr>
            </w:pPr>
            <w:r>
              <w:rPr>
                <w:sz w:val="18"/>
                <w:szCs w:val="18"/>
              </w:rPr>
              <w:t>Treatment of locally advanced basal cell carcinoma</w:t>
            </w:r>
            <w:r w:rsidR="006272BA">
              <w:rPr>
                <w:sz w:val="18"/>
                <w:szCs w:val="18"/>
              </w:rPr>
              <w:t xml:space="preserve"> </w:t>
            </w:r>
            <w:r w:rsidR="00926DFA" w:rsidRPr="00926DFA">
              <w:rPr>
                <w:sz w:val="18"/>
                <w:szCs w:val="18"/>
              </w:rPr>
              <w:t>or metastatic basal cell carcinoma (la/</w:t>
            </w:r>
            <w:proofErr w:type="spellStart"/>
            <w:r w:rsidR="00926DFA" w:rsidRPr="00926DFA">
              <w:rPr>
                <w:sz w:val="18"/>
                <w:szCs w:val="18"/>
              </w:rPr>
              <w:t>mBCC</w:t>
            </w:r>
            <w:proofErr w:type="spellEnd"/>
            <w:r w:rsidR="00926DFA" w:rsidRPr="00926DFA">
              <w:rPr>
                <w:sz w:val="18"/>
                <w:szCs w:val="18"/>
              </w:rPr>
              <w:t>)</w:t>
            </w:r>
            <w:r>
              <w:rPr>
                <w:sz w:val="18"/>
                <w:szCs w:val="18"/>
              </w:rPr>
              <w:t xml:space="preserve"> generally involves surgery and/or radiation therapy. In patients who experience disease recurrence or are ineligible to receive such treatments, therapeutic options are limited to </w:t>
            </w:r>
            <w:proofErr w:type="spellStart"/>
            <w:r>
              <w:rPr>
                <w:sz w:val="18"/>
                <w:szCs w:val="18"/>
              </w:rPr>
              <w:t>vismodegib</w:t>
            </w:r>
            <w:proofErr w:type="spellEnd"/>
            <w:r>
              <w:rPr>
                <w:sz w:val="18"/>
                <w:szCs w:val="18"/>
              </w:rPr>
              <w:t xml:space="preserve"> (another Hedgehog pathway inhibitor). The latter is indicated and reimbursed in all provinces for the treatment of la</w:t>
            </w:r>
            <w:r w:rsidR="00926DFA">
              <w:rPr>
                <w:sz w:val="18"/>
                <w:szCs w:val="18"/>
              </w:rPr>
              <w:t>/</w:t>
            </w:r>
            <w:proofErr w:type="spellStart"/>
            <w:r w:rsidR="00926DFA">
              <w:rPr>
                <w:sz w:val="18"/>
                <w:szCs w:val="18"/>
              </w:rPr>
              <w:t>m</w:t>
            </w:r>
            <w:r>
              <w:rPr>
                <w:sz w:val="18"/>
                <w:szCs w:val="18"/>
              </w:rPr>
              <w:t>BCC</w:t>
            </w:r>
            <w:proofErr w:type="spellEnd"/>
            <w:r>
              <w:rPr>
                <w:sz w:val="18"/>
                <w:szCs w:val="18"/>
              </w:rPr>
              <w:t xml:space="preserve"> BCC in patients with measurable disease who are not candidates for surgery or radiation therapy.</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24C3BCF3" w:rsidR="0097124E" w:rsidRPr="00B03313" w:rsidRDefault="002428F1" w:rsidP="00B03313">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7A278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50071DD3"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r w:rsidR="00B03313">
        <w:rPr>
          <w:rFonts w:ascii="Arial" w:hAnsi="Arial" w:cs="Arial"/>
          <w:sz w:val="18"/>
        </w:rPr>
        <w:t xml:space="preserve"> </w:t>
      </w:r>
      <w:r w:rsidR="00B03313" w:rsidRPr="00B03313">
        <w:rPr>
          <w:rFonts w:ascii="Arial" w:hAnsi="Arial" w:cs="Arial"/>
          <w:b/>
          <w:sz w:val="18"/>
        </w:rPr>
        <w:t xml:space="preserve">Is there evidence to inform the use of </w:t>
      </w:r>
      <w:proofErr w:type="spellStart"/>
      <w:r w:rsidR="00B03313" w:rsidRPr="00B03313">
        <w:rPr>
          <w:rFonts w:ascii="Arial" w:hAnsi="Arial" w:cs="Arial"/>
          <w:b/>
          <w:sz w:val="18"/>
        </w:rPr>
        <w:t>sonidegib</w:t>
      </w:r>
      <w:proofErr w:type="spellEnd"/>
      <w:r w:rsidR="00B03313" w:rsidRPr="00B03313">
        <w:rPr>
          <w:rFonts w:ascii="Arial" w:hAnsi="Arial" w:cs="Arial"/>
          <w:b/>
          <w:sz w:val="18"/>
        </w:rPr>
        <w:t xml:space="preserve"> following </w:t>
      </w:r>
      <w:proofErr w:type="spellStart"/>
      <w:r w:rsidR="00B03313" w:rsidRPr="00B03313">
        <w:rPr>
          <w:rFonts w:ascii="Arial" w:hAnsi="Arial" w:cs="Arial"/>
          <w:b/>
          <w:sz w:val="18"/>
        </w:rPr>
        <w:t>vismodegib</w:t>
      </w:r>
      <w:proofErr w:type="spellEnd"/>
      <w:r w:rsidR="00B03313" w:rsidRPr="00B03313">
        <w:rPr>
          <w:rFonts w:ascii="Arial" w:hAnsi="Arial" w:cs="Arial"/>
          <w:b/>
          <w:sz w:val="18"/>
        </w:rPr>
        <w:t xml:space="preserve"> or vice versa?</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15D52E7F" w14:textId="593CBC3B" w:rsidR="004747F6" w:rsidRPr="00912B81" w:rsidRDefault="00B03313" w:rsidP="00912B81">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Is there evidence on the use of sonidegib for prevention of recurrence after surgery or radiation therapy (i.e., adjuvant use)?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7" w:name="_Toc439923601"/>
    </w:p>
    <w:p w14:paraId="6D617173" w14:textId="44034B4B" w:rsidR="00E5014E" w:rsidRPr="00912B81" w:rsidRDefault="00B03313" w:rsidP="00E5014E">
      <w:pPr>
        <w:pStyle w:val="ListParagraph"/>
        <w:numPr>
          <w:ilvl w:val="0"/>
          <w:numId w:val="42"/>
        </w:numPr>
        <w:rPr>
          <w:rFonts w:ascii="Arial" w:eastAsia="Times New Roman" w:hAnsi="Arial" w:cs="Arial"/>
          <w:b/>
          <w:sz w:val="18"/>
          <w:szCs w:val="18"/>
        </w:rPr>
      </w:pPr>
      <w:r>
        <w:rPr>
          <w:rFonts w:ascii="Arial" w:eastAsia="Times New Roman" w:hAnsi="Arial" w:cs="Arial"/>
          <w:b/>
          <w:sz w:val="18"/>
          <w:szCs w:val="18"/>
        </w:rPr>
        <w:t xml:space="preserve">What would be the circumstances and rationale for preferring </w:t>
      </w:r>
      <w:proofErr w:type="spellStart"/>
      <w:r>
        <w:rPr>
          <w:rFonts w:ascii="Arial" w:eastAsia="Times New Roman" w:hAnsi="Arial" w:cs="Arial"/>
          <w:b/>
          <w:sz w:val="18"/>
          <w:szCs w:val="18"/>
        </w:rPr>
        <w:t>sonidegib</w:t>
      </w:r>
      <w:proofErr w:type="spellEnd"/>
      <w:r>
        <w:rPr>
          <w:rFonts w:ascii="Arial" w:eastAsia="Times New Roman" w:hAnsi="Arial" w:cs="Arial"/>
          <w:b/>
          <w:sz w:val="18"/>
          <w:szCs w:val="18"/>
        </w:rPr>
        <w:t xml:space="preserve"> or </w:t>
      </w:r>
      <w:proofErr w:type="spellStart"/>
      <w:r>
        <w:rPr>
          <w:rFonts w:ascii="Arial" w:eastAsia="Times New Roman" w:hAnsi="Arial" w:cs="Arial"/>
          <w:b/>
          <w:sz w:val="18"/>
          <w:szCs w:val="18"/>
        </w:rPr>
        <w:t>vismodegib</w:t>
      </w:r>
      <w:proofErr w:type="spellEnd"/>
      <w:r>
        <w:rPr>
          <w:rFonts w:ascii="Arial" w:eastAsia="Times New Roman" w:hAnsi="Arial" w:cs="Arial"/>
          <w:b/>
          <w:sz w:val="18"/>
          <w:szCs w:val="18"/>
        </w:rPr>
        <w:t xml:space="preserve"> for the treatment of locally advanced </w:t>
      </w:r>
      <w:r w:rsidR="00926DFA">
        <w:rPr>
          <w:rFonts w:ascii="Arial" w:eastAsia="Times New Roman" w:hAnsi="Arial" w:cs="Arial"/>
          <w:b/>
          <w:sz w:val="18"/>
          <w:szCs w:val="18"/>
        </w:rPr>
        <w:t xml:space="preserve">or metastatic </w:t>
      </w:r>
      <w:r>
        <w:rPr>
          <w:rFonts w:ascii="Arial" w:eastAsia="Times New Roman" w:hAnsi="Arial" w:cs="Arial"/>
          <w:b/>
          <w:sz w:val="18"/>
          <w:szCs w:val="18"/>
        </w:rPr>
        <w:t>BCC?</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4A9E0032" w14:textId="14C946AF"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lastRenderedPageBreak/>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7856DF31"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r>
      <w:r w:rsidR="00B03313">
        <w:rPr>
          <w:rFonts w:ascii="Arial" w:hAnsi="Arial" w:cs="Arial"/>
          <w:b/>
          <w:sz w:val="18"/>
        </w:rPr>
        <w:t xml:space="preserve">Some patients take a drug holiday with </w:t>
      </w:r>
      <w:proofErr w:type="spellStart"/>
      <w:r w:rsidR="00B03313">
        <w:rPr>
          <w:rFonts w:ascii="Arial" w:hAnsi="Arial" w:cs="Arial"/>
          <w:b/>
          <w:sz w:val="18"/>
        </w:rPr>
        <w:t>vismodegib</w:t>
      </w:r>
      <w:proofErr w:type="spellEnd"/>
      <w:r w:rsidR="00B03313">
        <w:rPr>
          <w:rFonts w:ascii="Arial" w:hAnsi="Arial" w:cs="Arial"/>
          <w:b/>
          <w:sz w:val="18"/>
        </w:rPr>
        <w:t xml:space="preserve"> and then resume upon progression. Would this be reasonable with sonidegib as well?</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9"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C58FBF0" w14:textId="77777777" w:rsidR="00D72334" w:rsidRPr="000028EA" w:rsidRDefault="00D72334" w:rsidP="00D72334">
      <w:pPr>
        <w:pStyle w:val="pCODR1Body"/>
        <w:numPr>
          <w:ilvl w:val="0"/>
          <w:numId w:val="40"/>
        </w:numPr>
        <w:ind w:left="360"/>
        <w:rPr>
          <w:rFonts w:ascii="Arial" w:hAnsi="Arial" w:cs="Arial"/>
          <w:sz w:val="18"/>
          <w:szCs w:val="18"/>
        </w:rPr>
      </w:pPr>
      <w:r w:rsidRPr="000028EA">
        <w:rPr>
          <w:rFonts w:ascii="Arial" w:hAnsi="Arial" w:cs="Arial"/>
          <w:sz w:val="18"/>
          <w:szCs w:val="18"/>
        </w:rPr>
        <w:t xml:space="preserve">Please provide the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D72334" w:rsidRPr="00942AE0" w14:paraId="5448A24D"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CC60FD7"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455A6314"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797C40B" w14:textId="77777777" w:rsidR="00D72334" w:rsidRPr="00942AE0" w:rsidRDefault="00D72334"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D72334" w:rsidRPr="00942AE0" w14:paraId="40ADD6FA"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018748AE" w14:textId="77777777" w:rsidR="00D72334" w:rsidRPr="00942AE0" w:rsidRDefault="00D72334"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DFBF37C"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5B89F56"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16C56988"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2E6E3E3B"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56561D45" w14:textId="77777777" w:rsidR="00D72334" w:rsidRPr="00942AE0" w:rsidRDefault="00D72334"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D72334" w:rsidRPr="00942AE0" w14:paraId="1297857F"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681D18C6" w14:textId="77777777" w:rsidR="00D72334" w:rsidRPr="00942AE0" w:rsidRDefault="00D72334"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3F4C499C" w14:textId="77777777" w:rsidR="00D72334" w:rsidRPr="00942AE0" w:rsidRDefault="00D72334"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6CB0ABCD" w14:textId="77777777" w:rsidR="00D72334" w:rsidRPr="00942AE0" w:rsidRDefault="007A2781"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50BBD846"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D72334"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164D88F"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4D4CBB4"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r>
      <w:tr w:rsidR="00D72334" w:rsidRPr="00942AE0" w14:paraId="5E968C51"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59E90917" w14:textId="77777777" w:rsidR="00D72334" w:rsidRPr="00942AE0" w:rsidRDefault="00D72334"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C0E9AC9" w14:textId="77777777" w:rsidR="00D72334" w:rsidRPr="00942AE0" w:rsidRDefault="00D72334"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3754EC48"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FF96923"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2E433B88"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644FA5BF"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r>
      <w:tr w:rsidR="00D72334" w:rsidRPr="00942AE0" w14:paraId="56EE021F"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5091E9E6" w14:textId="77777777" w:rsidR="00D72334" w:rsidRPr="00942AE0" w:rsidRDefault="00D72334"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8C6FAAB" w14:textId="77777777" w:rsidR="00D72334" w:rsidRPr="00942AE0" w:rsidRDefault="00D72334"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8B2AFE"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9FD26F0"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FCBCF20"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48D60E43" w14:textId="77777777" w:rsidR="00D72334" w:rsidRPr="00942AE0" w:rsidRDefault="007A2781"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D72334" w:rsidRPr="00942AE0">
                  <w:rPr>
                    <w:rFonts w:ascii="MS Gothic" w:eastAsia="MS Gothic" w:hAnsi="MS Gothic" w:hint="eastAsia"/>
                    <w:sz w:val="18"/>
                    <w:szCs w:val="18"/>
                  </w:rPr>
                  <w:t>☐</w:t>
                </w:r>
              </w:sdtContent>
            </w:sdt>
          </w:p>
        </w:tc>
      </w:tr>
    </w:tbl>
    <w:p w14:paraId="03D43AAE" w14:textId="77777777" w:rsidR="00D72334" w:rsidRPr="000028EA" w:rsidRDefault="00D72334" w:rsidP="00D72334">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7FDBC966" w14:textId="77777777" w:rsidR="00D72334" w:rsidRPr="000028EA" w:rsidRDefault="00D72334" w:rsidP="00D72334">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D72334" w14:paraId="7BC01F6E" w14:textId="77777777" w:rsidTr="00A37B00">
        <w:tc>
          <w:tcPr>
            <w:tcW w:w="10706" w:type="dxa"/>
          </w:tcPr>
          <w:p w14:paraId="2DCA43FE" w14:textId="77777777" w:rsidR="00D72334" w:rsidRDefault="00D72334" w:rsidP="00A37B00">
            <w:pPr>
              <w:pStyle w:val="pCODR1Body"/>
              <w:rPr>
                <w:rFonts w:ascii="Arial" w:hAnsi="Arial" w:cs="Arial"/>
                <w:sz w:val="18"/>
                <w:szCs w:val="18"/>
                <w:lang w:val="en-US"/>
              </w:rPr>
            </w:pPr>
          </w:p>
          <w:p w14:paraId="439F3D84" w14:textId="77777777" w:rsidR="00D72334" w:rsidRDefault="00D72334" w:rsidP="00A37B00">
            <w:pPr>
              <w:pStyle w:val="pCODR1Body"/>
              <w:rPr>
                <w:rFonts w:ascii="Arial" w:hAnsi="Arial" w:cs="Arial"/>
                <w:sz w:val="18"/>
                <w:szCs w:val="18"/>
                <w:lang w:val="en-US"/>
              </w:rPr>
            </w:pPr>
          </w:p>
          <w:p w14:paraId="4F07CD6A" w14:textId="77777777" w:rsidR="00D72334" w:rsidRDefault="00D72334" w:rsidP="00A37B00">
            <w:pPr>
              <w:pStyle w:val="pCODR1Body"/>
              <w:rPr>
                <w:rFonts w:ascii="Arial" w:hAnsi="Arial" w:cs="Arial"/>
                <w:sz w:val="18"/>
                <w:szCs w:val="18"/>
                <w:lang w:val="en-US"/>
              </w:rPr>
            </w:pPr>
          </w:p>
          <w:p w14:paraId="79603AE3" w14:textId="77777777" w:rsidR="00D72334" w:rsidRDefault="00D72334" w:rsidP="00A37B00">
            <w:pPr>
              <w:pStyle w:val="pCODR1Body"/>
              <w:rPr>
                <w:rFonts w:ascii="Arial" w:hAnsi="Arial" w:cs="Arial"/>
                <w:sz w:val="18"/>
                <w:szCs w:val="18"/>
                <w:lang w:val="en-US"/>
              </w:rPr>
            </w:pPr>
          </w:p>
        </w:tc>
      </w:tr>
    </w:tbl>
    <w:p w14:paraId="1482C0AA" w14:textId="77777777" w:rsidR="00D72334" w:rsidRDefault="00D72334" w:rsidP="00D72334">
      <w:pPr>
        <w:pStyle w:val="pCODR1Body"/>
        <w:rPr>
          <w:rFonts w:ascii="Arial" w:hAnsi="Arial" w:cs="Arial"/>
          <w:sz w:val="18"/>
          <w:szCs w:val="18"/>
          <w:lang w:val="en-US"/>
        </w:rPr>
      </w:pPr>
    </w:p>
    <w:p w14:paraId="7725FD6A" w14:textId="77777777" w:rsidR="00D72334" w:rsidRPr="000028EA" w:rsidRDefault="00D72334" w:rsidP="00D72334">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0777CC8A" w14:textId="77777777" w:rsidR="00D72334" w:rsidRPr="000028EA" w:rsidRDefault="00D72334" w:rsidP="00D72334">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D72334" w14:paraId="2635C44D" w14:textId="77777777" w:rsidTr="00A37B00">
        <w:tc>
          <w:tcPr>
            <w:tcW w:w="10706" w:type="dxa"/>
          </w:tcPr>
          <w:p w14:paraId="19EE7585" w14:textId="77777777" w:rsidR="00D72334" w:rsidRDefault="00D72334" w:rsidP="00A37B00">
            <w:pPr>
              <w:pStyle w:val="Default"/>
              <w:rPr>
                <w:sz w:val="18"/>
                <w:szCs w:val="18"/>
              </w:rPr>
            </w:pPr>
          </w:p>
          <w:p w14:paraId="6C1F294F" w14:textId="77777777" w:rsidR="00D72334" w:rsidRDefault="00D72334" w:rsidP="00A37B00">
            <w:pPr>
              <w:pStyle w:val="Default"/>
              <w:rPr>
                <w:sz w:val="18"/>
                <w:szCs w:val="18"/>
              </w:rPr>
            </w:pPr>
          </w:p>
          <w:p w14:paraId="0280AC2C" w14:textId="77777777" w:rsidR="00D72334" w:rsidRDefault="00D72334" w:rsidP="00A37B00">
            <w:pPr>
              <w:pStyle w:val="Default"/>
              <w:rPr>
                <w:sz w:val="18"/>
                <w:szCs w:val="18"/>
              </w:rPr>
            </w:pPr>
          </w:p>
          <w:p w14:paraId="1D59B9D3" w14:textId="77777777" w:rsidR="00D72334" w:rsidRDefault="00D72334" w:rsidP="00A37B00">
            <w:pPr>
              <w:pStyle w:val="Default"/>
              <w:rPr>
                <w:sz w:val="18"/>
                <w:szCs w:val="18"/>
              </w:rPr>
            </w:pPr>
          </w:p>
          <w:p w14:paraId="163AA315" w14:textId="77777777" w:rsidR="00D72334" w:rsidRDefault="00D72334" w:rsidP="00A37B00">
            <w:pPr>
              <w:pStyle w:val="Default"/>
              <w:rPr>
                <w:sz w:val="18"/>
                <w:szCs w:val="18"/>
              </w:rPr>
            </w:pPr>
          </w:p>
          <w:p w14:paraId="628F156C" w14:textId="77777777" w:rsidR="00D72334" w:rsidRDefault="00D72334" w:rsidP="00A37B00">
            <w:pPr>
              <w:pStyle w:val="Default"/>
              <w:rPr>
                <w:sz w:val="18"/>
                <w:szCs w:val="18"/>
              </w:rPr>
            </w:pPr>
          </w:p>
        </w:tc>
      </w:tr>
    </w:tbl>
    <w:p w14:paraId="77B87F4F" w14:textId="77777777" w:rsidR="00D72334" w:rsidRPr="000028EA" w:rsidRDefault="00D72334" w:rsidP="00D72334">
      <w:pPr>
        <w:pStyle w:val="Default"/>
        <w:rPr>
          <w:sz w:val="18"/>
          <w:szCs w:val="18"/>
        </w:rPr>
      </w:pPr>
    </w:p>
    <w:p w14:paraId="7BF8E285" w14:textId="77777777" w:rsidR="00D72334" w:rsidRPr="000028EA" w:rsidRDefault="00D72334" w:rsidP="00D72334">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D72334" w14:paraId="39108441" w14:textId="77777777" w:rsidTr="00A37B00">
        <w:tc>
          <w:tcPr>
            <w:tcW w:w="7083" w:type="dxa"/>
          </w:tcPr>
          <w:p w14:paraId="16170D04" w14:textId="77777777" w:rsidR="00D72334" w:rsidRDefault="00D72334"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0D5B204F" w14:textId="77777777" w:rsidR="00D72334" w:rsidRPr="00335051" w:rsidRDefault="007A2781"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D72334">
                  <w:rPr>
                    <w:rFonts w:ascii="MS Gothic" w:eastAsia="MS Gothic" w:hAnsi="MS Gothic" w:hint="eastAsia"/>
                    <w:sz w:val="22"/>
                  </w:rPr>
                  <w:t>☐</w:t>
                </w:r>
              </w:sdtContent>
            </w:sdt>
          </w:p>
          <w:p w14:paraId="7BF31F9B" w14:textId="77777777" w:rsidR="00D72334" w:rsidRDefault="00D72334" w:rsidP="00A37B00">
            <w:pPr>
              <w:pStyle w:val="Default"/>
              <w:rPr>
                <w:sz w:val="18"/>
              </w:rPr>
            </w:pPr>
          </w:p>
        </w:tc>
      </w:tr>
    </w:tbl>
    <w:p w14:paraId="49AE90B2" w14:textId="77777777" w:rsidR="00D72334" w:rsidRDefault="00D72334" w:rsidP="00D72334">
      <w:pPr>
        <w:pStyle w:val="Default"/>
        <w:ind w:left="400"/>
        <w:rPr>
          <w:sz w:val="18"/>
          <w:szCs w:val="18"/>
          <w:lang w:val="en-CA"/>
        </w:rPr>
      </w:pPr>
    </w:p>
    <w:p w14:paraId="48F1E9C2" w14:textId="77777777" w:rsidR="00D72334" w:rsidRPr="00335051" w:rsidRDefault="00D72334" w:rsidP="00D72334">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D72334" w:rsidRPr="00EB0EEF" w14:paraId="3A205142" w14:textId="77777777" w:rsidTr="00A37B00">
        <w:tc>
          <w:tcPr>
            <w:tcW w:w="1960" w:type="pct"/>
            <w:tcBorders>
              <w:bottom w:val="single" w:sz="4" w:space="0" w:color="000000" w:themeColor="text1"/>
            </w:tcBorders>
          </w:tcPr>
          <w:p w14:paraId="03A1A34D" w14:textId="77777777" w:rsidR="00D72334" w:rsidRPr="00EB0EEF" w:rsidRDefault="00D72334" w:rsidP="00A37B00">
            <w:pPr>
              <w:rPr>
                <w:rFonts w:ascii="Arial" w:hAnsi="Arial" w:cs="Arial"/>
              </w:rPr>
            </w:pPr>
          </w:p>
        </w:tc>
        <w:tc>
          <w:tcPr>
            <w:tcW w:w="273" w:type="pct"/>
          </w:tcPr>
          <w:p w14:paraId="6B02830F" w14:textId="77777777" w:rsidR="00D72334" w:rsidRPr="00EB0EEF" w:rsidRDefault="00D72334" w:rsidP="00A37B00">
            <w:pPr>
              <w:rPr>
                <w:rFonts w:ascii="Arial" w:hAnsi="Arial" w:cs="Arial"/>
              </w:rPr>
            </w:pPr>
          </w:p>
        </w:tc>
        <w:tc>
          <w:tcPr>
            <w:tcW w:w="2473" w:type="pct"/>
            <w:tcBorders>
              <w:bottom w:val="single" w:sz="4" w:space="0" w:color="auto"/>
            </w:tcBorders>
          </w:tcPr>
          <w:p w14:paraId="5A6AB83B" w14:textId="77777777" w:rsidR="00D72334" w:rsidRPr="00EB0EEF" w:rsidRDefault="00D72334" w:rsidP="00A37B00">
            <w:pPr>
              <w:rPr>
                <w:rFonts w:ascii="Arial" w:hAnsi="Arial" w:cs="Arial"/>
              </w:rPr>
            </w:pPr>
          </w:p>
        </w:tc>
        <w:tc>
          <w:tcPr>
            <w:tcW w:w="294" w:type="pct"/>
          </w:tcPr>
          <w:p w14:paraId="4B2A8AEC" w14:textId="77777777" w:rsidR="00D72334" w:rsidRPr="00EB0EEF" w:rsidRDefault="00D72334" w:rsidP="00A37B00">
            <w:pPr>
              <w:rPr>
                <w:rFonts w:ascii="Arial" w:hAnsi="Arial" w:cs="Arial"/>
              </w:rPr>
            </w:pPr>
          </w:p>
        </w:tc>
      </w:tr>
      <w:tr w:rsidR="00D72334" w:rsidRPr="00EB0EEF" w14:paraId="3FA9D37B" w14:textId="77777777" w:rsidTr="00A37B00">
        <w:tc>
          <w:tcPr>
            <w:tcW w:w="1960" w:type="pct"/>
            <w:tcBorders>
              <w:top w:val="single" w:sz="4" w:space="0" w:color="000000" w:themeColor="text1"/>
            </w:tcBorders>
          </w:tcPr>
          <w:p w14:paraId="04DA1C6F" w14:textId="77777777" w:rsidR="00D72334" w:rsidRPr="00EB0EEF" w:rsidRDefault="00D72334" w:rsidP="00A37B00">
            <w:pPr>
              <w:rPr>
                <w:rFonts w:ascii="Arial" w:hAnsi="Arial" w:cs="Arial"/>
                <w:sz w:val="18"/>
              </w:rPr>
            </w:pPr>
            <w:r>
              <w:rPr>
                <w:rFonts w:ascii="Arial" w:hAnsi="Arial" w:cs="Arial"/>
                <w:sz w:val="18"/>
              </w:rPr>
              <w:t>Date</w:t>
            </w:r>
          </w:p>
        </w:tc>
        <w:tc>
          <w:tcPr>
            <w:tcW w:w="273" w:type="pct"/>
          </w:tcPr>
          <w:p w14:paraId="3E817E6E" w14:textId="77777777" w:rsidR="00D72334" w:rsidRPr="00EB0EEF" w:rsidRDefault="00D72334" w:rsidP="00A37B00">
            <w:pPr>
              <w:rPr>
                <w:rFonts w:ascii="Arial" w:hAnsi="Arial" w:cs="Arial"/>
                <w:sz w:val="18"/>
              </w:rPr>
            </w:pPr>
          </w:p>
        </w:tc>
        <w:tc>
          <w:tcPr>
            <w:tcW w:w="2473" w:type="pct"/>
            <w:tcBorders>
              <w:top w:val="single" w:sz="4" w:space="0" w:color="auto"/>
            </w:tcBorders>
          </w:tcPr>
          <w:p w14:paraId="08DC0CF8" w14:textId="77777777" w:rsidR="00D72334" w:rsidRPr="00EB0EEF" w:rsidRDefault="00D72334" w:rsidP="00A37B00">
            <w:pPr>
              <w:rPr>
                <w:rFonts w:ascii="Arial" w:hAnsi="Arial" w:cs="Arial"/>
                <w:sz w:val="18"/>
              </w:rPr>
            </w:pPr>
            <w:r>
              <w:rPr>
                <w:rFonts w:ascii="Arial" w:hAnsi="Arial" w:cs="Arial"/>
                <w:sz w:val="18"/>
              </w:rPr>
              <w:t>Name</w:t>
            </w:r>
          </w:p>
        </w:tc>
        <w:tc>
          <w:tcPr>
            <w:tcW w:w="294" w:type="pct"/>
          </w:tcPr>
          <w:p w14:paraId="7CEA32BF" w14:textId="77777777" w:rsidR="00D72334" w:rsidRPr="00EB0EEF" w:rsidRDefault="00D72334"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7107EAD"/>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4"/>
  </w:num>
  <w:num w:numId="16">
    <w:abstractNumId w:val="27"/>
  </w:num>
  <w:num w:numId="17">
    <w:abstractNumId w:val="32"/>
  </w:num>
  <w:num w:numId="18">
    <w:abstractNumId w:val="49"/>
  </w:num>
  <w:num w:numId="19">
    <w:abstractNumId w:val="30"/>
  </w:num>
  <w:num w:numId="20">
    <w:abstractNumId w:val="11"/>
  </w:num>
  <w:num w:numId="21">
    <w:abstractNumId w:val="9"/>
  </w:num>
  <w:num w:numId="22">
    <w:abstractNumId w:val="29"/>
  </w:num>
  <w:num w:numId="23">
    <w:abstractNumId w:val="47"/>
  </w:num>
  <w:num w:numId="24">
    <w:abstractNumId w:val="15"/>
  </w:num>
  <w:num w:numId="25">
    <w:abstractNumId w:val="26"/>
  </w:num>
  <w:num w:numId="26">
    <w:abstractNumId w:val="38"/>
  </w:num>
  <w:num w:numId="27">
    <w:abstractNumId w:val="20"/>
  </w:num>
  <w:num w:numId="28">
    <w:abstractNumId w:val="25"/>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4"/>
  </w:num>
  <w:num w:numId="36">
    <w:abstractNumId w:val="23"/>
  </w:num>
  <w:num w:numId="37">
    <w:abstractNumId w:val="22"/>
  </w:num>
  <w:num w:numId="38">
    <w:abstractNumId w:val="12"/>
  </w:num>
  <w:num w:numId="39">
    <w:abstractNumId w:val="46"/>
  </w:num>
  <w:num w:numId="40">
    <w:abstractNumId w:val="16"/>
  </w:num>
  <w:num w:numId="41">
    <w:abstractNumId w:val="41"/>
  </w:num>
  <w:num w:numId="42">
    <w:abstractNumId w:val="19"/>
  </w:num>
  <w:num w:numId="43">
    <w:abstractNumId w:val="35"/>
  </w:num>
  <w:num w:numId="44">
    <w:abstractNumId w:val="43"/>
  </w:num>
  <w:num w:numId="45">
    <w:abstractNumId w:val="21"/>
  </w:num>
  <w:num w:numId="46">
    <w:abstractNumId w:val="13"/>
  </w:num>
  <w:num w:numId="47">
    <w:abstractNumId w:val="33"/>
  </w:num>
  <w:num w:numId="48">
    <w:abstractNumId w:val="28"/>
  </w:num>
  <w:num w:numId="49">
    <w:abstractNumId w:val="36"/>
  </w:num>
  <w:num w:numId="50">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93CA3"/>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272BA"/>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2781"/>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6DFA"/>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3313"/>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5BC3"/>
    <w:rsid w:val="00BF6BE2"/>
    <w:rsid w:val="00C01D4C"/>
    <w:rsid w:val="00C064DE"/>
    <w:rsid w:val="00C07499"/>
    <w:rsid w:val="00C075F0"/>
    <w:rsid w:val="00C10325"/>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2334"/>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nccn.org/professionals/physician_gls/pdf/nms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ma.europa.eu/en/medicines/human/EPAR/odomzo" TargetMode="External"/><Relationship Id="rId2" Type="http://schemas.openxmlformats.org/officeDocument/2006/relationships/numbering" Target="numbering.xml"/><Relationship Id="rId16" Type="http://schemas.openxmlformats.org/officeDocument/2006/relationships/hyperlink" Target="https://www.accessdata.fda.gov/drugsatfda_docs/nda/2015/205266Orig1s000Approv.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mc/articles/pmid/28846163/"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3270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813C-5323-416E-8476-748FAE1A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2019-12-19T18:31:00Z</dcterms:created>
  <dcterms:modified xsi:type="dcterms:W3CDTF">2020-03-17T13:42:00Z</dcterms:modified>
</cp:coreProperties>
</file>