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B26D933" w:rsidR="00121EB1" w:rsidRPr="00EB0EEF" w:rsidRDefault="004D50E1" w:rsidP="00EB0EEF">
            <w:pPr>
              <w:pStyle w:val="DocumentTitle"/>
              <w:tabs>
                <w:tab w:val="left" w:pos="1074"/>
              </w:tabs>
              <w:spacing w:before="0" w:after="0"/>
              <w:rPr>
                <w:sz w:val="18"/>
                <w:szCs w:val="20"/>
              </w:rPr>
            </w:pPr>
            <w:r>
              <w:rPr>
                <w:sz w:val="18"/>
                <w:szCs w:val="20"/>
              </w:rPr>
              <w:t>pCODR 102</w:t>
            </w:r>
            <w:r w:rsidR="0076452F">
              <w:rPr>
                <w:sz w:val="18"/>
                <w:szCs w:val="20"/>
              </w:rPr>
              <w:t>23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C8A874D" w:rsidR="00F369F8" w:rsidRPr="00EB0EEF" w:rsidRDefault="0076452F" w:rsidP="00EB0EEF">
            <w:pPr>
              <w:pStyle w:val="DocumentTitle"/>
              <w:tabs>
                <w:tab w:val="left" w:pos="1074"/>
              </w:tabs>
              <w:spacing w:before="0" w:after="0"/>
              <w:rPr>
                <w:sz w:val="18"/>
                <w:szCs w:val="20"/>
              </w:rPr>
            </w:pPr>
            <w:proofErr w:type="spellStart"/>
            <w:r>
              <w:rPr>
                <w:sz w:val="18"/>
                <w:szCs w:val="20"/>
              </w:rPr>
              <w:t>Olaparib</w:t>
            </w:r>
            <w:proofErr w:type="spellEnd"/>
            <w:r w:rsidR="004D50E1">
              <w:rPr>
                <w:sz w:val="18"/>
                <w:szCs w:val="20"/>
              </w:rPr>
              <w:t xml:space="preserve"> </w:t>
            </w:r>
            <w:r w:rsidR="00F610F4">
              <w:rPr>
                <w:sz w:val="18"/>
                <w:szCs w:val="20"/>
              </w:rPr>
              <w:t>(</w:t>
            </w:r>
            <w:proofErr w:type="spellStart"/>
            <w:r>
              <w:rPr>
                <w:sz w:val="18"/>
                <w:szCs w:val="20"/>
              </w:rPr>
              <w:t>Lynparza</w:t>
            </w:r>
            <w:proofErr w:type="spellEnd"/>
            <w:r w:rsidR="00F610F4">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40EDD442" w14:textId="77777777" w:rsidR="00201CCD" w:rsidRPr="00201CCD" w:rsidRDefault="00201CCD" w:rsidP="00201CCD">
            <w:pPr>
              <w:pStyle w:val="DocumentTitle"/>
              <w:tabs>
                <w:tab w:val="left" w:pos="1074"/>
              </w:tabs>
              <w:spacing w:after="0"/>
              <w:rPr>
                <w:sz w:val="18"/>
                <w:szCs w:val="20"/>
              </w:rPr>
            </w:pPr>
            <w:proofErr w:type="spellStart"/>
            <w:r>
              <w:rPr>
                <w:sz w:val="18"/>
                <w:szCs w:val="20"/>
              </w:rPr>
              <w:t>Olaparib</w:t>
            </w:r>
            <w:proofErr w:type="spellEnd"/>
            <w:r>
              <w:rPr>
                <w:sz w:val="18"/>
                <w:szCs w:val="20"/>
              </w:rPr>
              <w:t xml:space="preserve"> as </w:t>
            </w:r>
            <w:r w:rsidRPr="00201CCD">
              <w:rPr>
                <w:sz w:val="18"/>
                <w:szCs w:val="20"/>
              </w:rPr>
              <w:t>monotherapy for the treatment of adult patients with metastatic castration-resistant prostate cancer (</w:t>
            </w:r>
            <w:proofErr w:type="spellStart"/>
            <w:r w:rsidRPr="00201CCD">
              <w:rPr>
                <w:sz w:val="18"/>
                <w:szCs w:val="20"/>
              </w:rPr>
              <w:t>mCRPC</w:t>
            </w:r>
            <w:proofErr w:type="spellEnd"/>
            <w:r w:rsidRPr="00201CCD">
              <w:rPr>
                <w:sz w:val="18"/>
                <w:szCs w:val="20"/>
              </w:rPr>
              <w:t>) and</w:t>
            </w:r>
            <w:r>
              <w:rPr>
                <w:sz w:val="18"/>
                <w:szCs w:val="20"/>
              </w:rPr>
              <w:t xml:space="preserve"> </w:t>
            </w:r>
            <w:r w:rsidRPr="00201CCD">
              <w:rPr>
                <w:sz w:val="18"/>
                <w:szCs w:val="20"/>
              </w:rPr>
              <w:t>homologous recombination repair (HRR) gene mutations (germline and/or somatic) who have progressed following prior</w:t>
            </w:r>
          </w:p>
          <w:p w14:paraId="188CCEE5" w14:textId="7EF4CFF9" w:rsidR="00F369F8" w:rsidRPr="00EB0EEF" w:rsidRDefault="00201CCD" w:rsidP="00201CCD">
            <w:pPr>
              <w:pStyle w:val="DocumentTitle"/>
              <w:tabs>
                <w:tab w:val="left" w:pos="1074"/>
              </w:tabs>
              <w:spacing w:before="0" w:after="0"/>
              <w:rPr>
                <w:sz w:val="18"/>
                <w:szCs w:val="20"/>
              </w:rPr>
            </w:pPr>
            <w:r w:rsidRPr="00201CCD">
              <w:rPr>
                <w:sz w:val="18"/>
                <w:szCs w:val="20"/>
              </w:rPr>
              <w:t>treatment with a new hormonal agent (NHA).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6B2D9117" w:rsidR="00CC380E" w:rsidRPr="00751305" w:rsidRDefault="00201CCD" w:rsidP="00751305">
            <w:pPr>
              <w:pStyle w:val="DocumentTitle"/>
              <w:tabs>
                <w:tab w:val="left" w:pos="1074"/>
              </w:tabs>
              <w:spacing w:before="0" w:after="0"/>
              <w:rPr>
                <w:sz w:val="18"/>
                <w:szCs w:val="18"/>
              </w:rPr>
            </w:pPr>
            <w:proofErr w:type="spellStart"/>
            <w:r w:rsidRPr="00201CCD">
              <w:rPr>
                <w:color w:val="333333"/>
                <w:sz w:val="18"/>
                <w:szCs w:val="18"/>
                <w:shd w:val="clear" w:color="auto" w:fill="FFFFFF"/>
              </w:rPr>
              <w:t>PROfound</w:t>
            </w:r>
            <w:proofErr w:type="spellEnd"/>
            <w:r w:rsidRPr="00201CCD">
              <w:rPr>
                <w:color w:val="333333"/>
                <w:sz w:val="18"/>
                <w:szCs w:val="18"/>
                <w:shd w:val="clear" w:color="auto" w:fill="FFFFFF"/>
              </w:rPr>
              <w:t xml:space="preserve"> </w:t>
            </w:r>
            <w:r>
              <w:rPr>
                <w:color w:val="333333"/>
                <w:sz w:val="18"/>
                <w:szCs w:val="18"/>
                <w:shd w:val="clear" w:color="auto" w:fill="FFFFFF"/>
              </w:rPr>
              <w:t>study</w:t>
            </w:r>
            <w:r w:rsidRPr="00201CCD">
              <w:rPr>
                <w:color w:val="333333"/>
                <w:sz w:val="18"/>
                <w:szCs w:val="18"/>
                <w:shd w:val="clear" w:color="auto" w:fill="FFFFFF"/>
              </w:rPr>
              <w:t xml:space="preserve"> </w:t>
            </w:r>
            <w:r>
              <w:rPr>
                <w:color w:val="333333"/>
                <w:sz w:val="18"/>
                <w:szCs w:val="18"/>
                <w:shd w:val="clear" w:color="auto" w:fill="FFFFFF"/>
              </w:rPr>
              <w:t>(</w:t>
            </w:r>
            <w:hyperlink r:id="rId14" w:tgtFrame="_blank" w:history="1">
              <w:r w:rsidRPr="00201CCD">
                <w:rPr>
                  <w:rStyle w:val="Hyperlink"/>
                  <w:b w:val="0"/>
                  <w:bCs/>
                  <w:color w:val="007FAA"/>
                  <w:sz w:val="18"/>
                  <w:szCs w:val="18"/>
                  <w:shd w:val="clear" w:color="auto" w:fill="FFFFFF"/>
                </w:rPr>
                <w:t>NCT02987543</w:t>
              </w:r>
            </w:hyperlink>
            <w:r>
              <w:rPr>
                <w:b w:val="0"/>
                <w:bCs/>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0D586BC6" w:rsidR="00275E1C" w:rsidRPr="00AF4DB1" w:rsidRDefault="00A0670B" w:rsidP="00EB0EEF">
            <w:pPr>
              <w:pStyle w:val="DocumentTitle"/>
              <w:tabs>
                <w:tab w:val="left" w:pos="1074"/>
              </w:tabs>
              <w:spacing w:before="0" w:after="0"/>
              <w:rPr>
                <w:sz w:val="18"/>
                <w:szCs w:val="20"/>
              </w:rPr>
            </w:pPr>
            <w:r>
              <w:rPr>
                <w:sz w:val="18"/>
                <w:szCs w:val="20"/>
              </w:rPr>
              <w:t>Pending</w:t>
            </w:r>
            <w:r w:rsidR="00AF4DB1" w:rsidRPr="00AF4DB1">
              <w:rPr>
                <w:sz w:val="18"/>
                <w:szCs w:val="20"/>
              </w:rPr>
              <w:t xml:space="preserve"> </w:t>
            </w:r>
            <w:r w:rsidR="007E521C">
              <w:rPr>
                <w:sz w:val="18"/>
                <w:szCs w:val="20"/>
              </w:rPr>
              <w:t>approval</w:t>
            </w:r>
            <w:bookmarkStart w:id="0" w:name="_GoBack"/>
            <w:bookmarkEnd w:id="0"/>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7A3A285" w:rsidR="00275E1C" w:rsidRPr="00AF4DB1" w:rsidRDefault="00AF4DB1" w:rsidP="00AF4DB1">
            <w:pPr>
              <w:pStyle w:val="DocumentTitle"/>
              <w:tabs>
                <w:tab w:val="left" w:pos="1074"/>
              </w:tabs>
              <w:spacing w:before="0" w:after="0"/>
              <w:rPr>
                <w:sz w:val="18"/>
                <w:szCs w:val="20"/>
              </w:rPr>
            </w:pPr>
            <w:r w:rsidRPr="00AF4DB1">
              <w:rPr>
                <w:sz w:val="18"/>
                <w:szCs w:val="20"/>
              </w:rPr>
              <w:t>Approved (0</w:t>
            </w:r>
            <w:r w:rsidR="00A0670B">
              <w:rPr>
                <w:sz w:val="18"/>
                <w:szCs w:val="20"/>
              </w:rPr>
              <w:t>5</w:t>
            </w:r>
            <w:r w:rsidRPr="00AF4DB1">
              <w:rPr>
                <w:sz w:val="18"/>
                <w:szCs w:val="20"/>
              </w:rPr>
              <w:t>-</w:t>
            </w:r>
            <w:r w:rsidR="00A0670B">
              <w:rPr>
                <w:sz w:val="18"/>
                <w:szCs w:val="20"/>
              </w:rPr>
              <w:t>19</w:t>
            </w:r>
            <w:r w:rsidRPr="00AF4DB1">
              <w:rPr>
                <w:sz w:val="18"/>
                <w:szCs w:val="20"/>
              </w:rPr>
              <w:t>-2020)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C02A1F3" w:rsidR="00F369F8" w:rsidRPr="00AF4DB1" w:rsidRDefault="00AF4DB1" w:rsidP="00EB0EEF">
            <w:pPr>
              <w:pStyle w:val="DocumentTitle"/>
              <w:tabs>
                <w:tab w:val="left" w:pos="1074"/>
              </w:tabs>
              <w:spacing w:before="0" w:after="0"/>
              <w:rPr>
                <w:sz w:val="18"/>
                <w:szCs w:val="20"/>
              </w:rPr>
            </w:pPr>
            <w:r w:rsidRPr="00AF4DB1">
              <w:rPr>
                <w:sz w:val="18"/>
                <w:szCs w:val="20"/>
              </w:rPr>
              <w:t xml:space="preserve">Pending approval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EB28B76" w:rsidR="00420EEA" w:rsidRPr="00EB0EEF" w:rsidRDefault="007E521C"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311CD5FD" w:rsidR="00420EEA" w:rsidRPr="00AF4DB1" w:rsidRDefault="00EF4139" w:rsidP="00AF4DB1">
            <w:pPr>
              <w:pStyle w:val="DocumentTitle"/>
              <w:tabs>
                <w:tab w:val="left" w:pos="1074"/>
              </w:tabs>
              <w:spacing w:before="0" w:after="0"/>
              <w:rPr>
                <w:sz w:val="18"/>
                <w:szCs w:val="20"/>
              </w:rPr>
            </w:pPr>
            <w:r w:rsidRPr="00EF4139">
              <w:rPr>
                <w:sz w:val="18"/>
                <w:szCs w:val="20"/>
              </w:rPr>
              <w:t xml:space="preserve">Relapsed or refractory metastatic CRPC previously treated with a new hormonal agent (NHA) i.e., androgen-receptor-axis targeted therapies (ARAT) such as enzalutamide and abiraterone, can be treated with radioisotopes or </w:t>
            </w:r>
            <w:proofErr w:type="spellStart"/>
            <w:r w:rsidRPr="00EF4139">
              <w:rPr>
                <w:sz w:val="18"/>
                <w:szCs w:val="20"/>
              </w:rPr>
              <w:t>taxanes</w:t>
            </w:r>
            <w:proofErr w:type="spellEnd"/>
            <w:r w:rsidRPr="00EF4139">
              <w:rPr>
                <w:sz w:val="18"/>
                <w:szCs w:val="20"/>
              </w:rPr>
              <w:t xml:space="preserve">. Sequencing of alternate ARATs for CRPC is funded in a few provinces. In some, a second ARAT is allowed it if it is preceded by a round of chemotherapy. Docetaxel may be given after ARATs, but </w:t>
            </w:r>
            <w:proofErr w:type="spellStart"/>
            <w:r w:rsidRPr="00EF4139">
              <w:rPr>
                <w:sz w:val="18"/>
                <w:szCs w:val="20"/>
              </w:rPr>
              <w:t>cabazitaxel</w:t>
            </w:r>
            <w:proofErr w:type="spellEnd"/>
            <w:r w:rsidRPr="00EF4139">
              <w:rPr>
                <w:sz w:val="18"/>
                <w:szCs w:val="20"/>
              </w:rPr>
              <w:t xml:space="preserve"> is only funded after progression on docetaxel. Radium-223 is indicated for symptomatic bone-only metastases only and is not funded in all jurisdictions. There is no specific standard of care for patients with a BRCA or HRR gene mutation.</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7E521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29C678A4" w14:textId="7D83E254" w:rsidR="008E7A6D" w:rsidRPr="008E7A6D" w:rsidRDefault="00EF4139" w:rsidP="008E7A6D">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In what circumstances would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be preferable to standard docetaxel chemotherapy following progression on an ARAT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53060A97" w14:textId="36EFC427" w:rsidR="00EF4139"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What are the treatment options after failure of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including potential ARAT re-treatment?     </w:t>
      </w:r>
    </w:p>
    <w:p w14:paraId="690748A5" w14:textId="1966AA55" w:rsidR="008E7A6D" w:rsidRPr="008E7A6D" w:rsidRDefault="008E7A6D" w:rsidP="00EF4139">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390C5AB0" w14:textId="0EE2721C" w:rsidR="008E7A6D"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What is the evidence and clinician perspective regarding optimal sequencing of drugs leading to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Should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be reserved for patients who have progressed on all ARAT and </w:t>
      </w:r>
      <w:proofErr w:type="spellStart"/>
      <w:r w:rsidRPr="00EF4139">
        <w:rPr>
          <w:rFonts w:ascii="Arial" w:eastAsia="Times New Roman" w:hAnsi="Arial" w:cs="Arial"/>
          <w:b/>
          <w:sz w:val="18"/>
          <w:szCs w:val="18"/>
        </w:rPr>
        <w:t>taxane</w:t>
      </w:r>
      <w:proofErr w:type="spellEnd"/>
      <w:r w:rsidRPr="00EF4139">
        <w:rPr>
          <w:rFonts w:ascii="Arial" w:eastAsia="Times New Roman" w:hAnsi="Arial" w:cs="Arial"/>
          <w:b/>
          <w:sz w:val="18"/>
          <w:szCs w:val="18"/>
        </w:rPr>
        <w:t xml:space="preserve"> options</w:t>
      </w:r>
      <w:r w:rsidR="008E7A6D" w:rsidRPr="00EF4139">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75365BE" w14:textId="77777777" w:rsidTr="00D90675">
        <w:tc>
          <w:tcPr>
            <w:tcW w:w="10166" w:type="dxa"/>
          </w:tcPr>
          <w:p w14:paraId="509835FA" w14:textId="77777777" w:rsidR="008E7A6D" w:rsidRPr="000A56A6" w:rsidRDefault="008E7A6D" w:rsidP="00D90675">
            <w:pPr>
              <w:rPr>
                <w:rFonts w:ascii="Arial" w:hAnsi="Arial" w:cs="Arial"/>
                <w:sz w:val="22"/>
                <w:szCs w:val="22"/>
              </w:rPr>
            </w:pPr>
          </w:p>
          <w:p w14:paraId="7A5B9421" w14:textId="77777777" w:rsidR="008E7A6D" w:rsidRPr="000A56A6" w:rsidRDefault="008E7A6D" w:rsidP="00D90675">
            <w:pPr>
              <w:rPr>
                <w:rFonts w:ascii="Arial" w:hAnsi="Arial" w:cs="Arial"/>
                <w:sz w:val="22"/>
                <w:szCs w:val="22"/>
              </w:rPr>
            </w:pPr>
          </w:p>
          <w:p w14:paraId="264EADCD" w14:textId="77777777" w:rsidR="008E7A6D" w:rsidRPr="000A56A6" w:rsidRDefault="008E7A6D" w:rsidP="00D90675">
            <w:pPr>
              <w:rPr>
                <w:rFonts w:ascii="Arial" w:hAnsi="Arial" w:cs="Arial"/>
                <w:sz w:val="22"/>
                <w:szCs w:val="22"/>
              </w:rPr>
            </w:pPr>
          </w:p>
          <w:p w14:paraId="336E5608" w14:textId="77777777" w:rsidR="008E7A6D" w:rsidRPr="000A56A6" w:rsidRDefault="008E7A6D" w:rsidP="00D90675">
            <w:pPr>
              <w:rPr>
                <w:rFonts w:ascii="Arial" w:hAnsi="Arial" w:cs="Arial"/>
                <w:sz w:val="22"/>
                <w:szCs w:val="22"/>
              </w:rPr>
            </w:pPr>
          </w:p>
          <w:p w14:paraId="2AE75277" w14:textId="77777777" w:rsidR="008E7A6D" w:rsidRPr="000A56A6" w:rsidRDefault="008E7A6D" w:rsidP="00D90675">
            <w:pPr>
              <w:rPr>
                <w:rFonts w:ascii="Arial" w:hAnsi="Arial" w:cs="Arial"/>
                <w:sz w:val="22"/>
                <w:szCs w:val="22"/>
              </w:rPr>
            </w:pPr>
          </w:p>
        </w:tc>
      </w:tr>
    </w:tbl>
    <w:p w14:paraId="2572DA94" w14:textId="77777777" w:rsidR="008E7A6D" w:rsidRDefault="008E7A6D" w:rsidP="008E7A6D">
      <w:pPr>
        <w:pStyle w:val="ListParagraph"/>
        <w:ind w:left="938"/>
        <w:rPr>
          <w:rFonts w:ascii="Arial" w:eastAsia="Times New Roman" w:hAnsi="Arial" w:cs="Arial"/>
          <w:b/>
          <w:sz w:val="18"/>
          <w:szCs w:val="18"/>
        </w:rPr>
      </w:pPr>
    </w:p>
    <w:p w14:paraId="3039BC25" w14:textId="77777777" w:rsidR="00EF4139"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What is the definition for disease progression and when should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be discontinued?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22EBE9" w14:textId="77777777" w:rsidTr="00D90675">
        <w:tc>
          <w:tcPr>
            <w:tcW w:w="9940" w:type="dxa"/>
          </w:tcPr>
          <w:p w14:paraId="0051D4A4" w14:textId="77777777" w:rsidR="008E7A6D" w:rsidRPr="000A56A6" w:rsidRDefault="008E7A6D" w:rsidP="00D90675">
            <w:pPr>
              <w:rPr>
                <w:rFonts w:ascii="Arial" w:hAnsi="Arial" w:cs="Arial"/>
                <w:sz w:val="22"/>
                <w:szCs w:val="22"/>
              </w:rPr>
            </w:pPr>
          </w:p>
          <w:p w14:paraId="5E575731" w14:textId="77777777" w:rsidR="008E7A6D" w:rsidRPr="000A56A6" w:rsidRDefault="008E7A6D" w:rsidP="00D90675">
            <w:pPr>
              <w:rPr>
                <w:rFonts w:ascii="Arial" w:hAnsi="Arial" w:cs="Arial"/>
                <w:sz w:val="22"/>
                <w:szCs w:val="22"/>
              </w:rPr>
            </w:pPr>
          </w:p>
          <w:p w14:paraId="57B8D4CF" w14:textId="77777777" w:rsidR="008E7A6D" w:rsidRPr="000A56A6" w:rsidRDefault="008E7A6D" w:rsidP="00D90675">
            <w:pPr>
              <w:rPr>
                <w:rFonts w:ascii="Arial" w:hAnsi="Arial" w:cs="Arial"/>
                <w:sz w:val="22"/>
                <w:szCs w:val="22"/>
              </w:rPr>
            </w:pPr>
          </w:p>
          <w:p w14:paraId="68C8E18A" w14:textId="77777777" w:rsidR="008E7A6D" w:rsidRPr="000A56A6" w:rsidRDefault="008E7A6D" w:rsidP="00D90675">
            <w:pPr>
              <w:rPr>
                <w:rFonts w:ascii="Arial" w:hAnsi="Arial" w:cs="Arial"/>
                <w:sz w:val="22"/>
                <w:szCs w:val="22"/>
              </w:rPr>
            </w:pPr>
          </w:p>
          <w:p w14:paraId="7D814AE3" w14:textId="77777777" w:rsidR="008E7A6D" w:rsidRPr="000A56A6" w:rsidRDefault="008E7A6D" w:rsidP="00D90675">
            <w:pPr>
              <w:rPr>
                <w:rFonts w:ascii="Arial" w:hAnsi="Arial" w:cs="Arial"/>
                <w:sz w:val="22"/>
                <w:szCs w:val="22"/>
              </w:rPr>
            </w:pPr>
          </w:p>
        </w:tc>
      </w:tr>
    </w:tbl>
    <w:p w14:paraId="2AC136D1" w14:textId="77777777" w:rsidR="008E7A6D" w:rsidRDefault="008E7A6D" w:rsidP="008E7A6D">
      <w:pPr>
        <w:pStyle w:val="ListParagraph"/>
        <w:ind w:left="938"/>
        <w:rPr>
          <w:rFonts w:ascii="Arial" w:eastAsia="Times New Roman" w:hAnsi="Arial" w:cs="Arial"/>
          <w:b/>
          <w:sz w:val="18"/>
          <w:szCs w:val="18"/>
        </w:rPr>
      </w:pPr>
    </w:p>
    <w:p w14:paraId="770D4164" w14:textId="5A35129F" w:rsidR="008E7A6D"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lastRenderedPageBreak/>
        <w:t>Would you want to prescribe this drug for any patient with an HRR gene alteration i.e., BRCA1 and 2, ATM and cohort B genes i.e., BRIP1, BARD1, CDK12, CHEK1, CHEK2, FANCL, PALB2, PPP2R2A, RAD51B, RAD51C, RAD51D, and RAD54L or only for patients with BRCA1,2 and ATM?</w:t>
      </w:r>
      <w:r>
        <w:rPr>
          <w:rFonts w:ascii="Arial" w:eastAsia="Times New Roman" w:hAnsi="Arial" w:cs="Arial"/>
          <w:b/>
          <w:sz w:val="18"/>
          <w:szCs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23CE0AA2" w14:textId="77777777" w:rsidTr="00D90675">
        <w:tc>
          <w:tcPr>
            <w:tcW w:w="9940" w:type="dxa"/>
          </w:tcPr>
          <w:p w14:paraId="0726AD07" w14:textId="77777777" w:rsidR="008E7A6D" w:rsidRPr="000A56A6" w:rsidRDefault="008E7A6D" w:rsidP="00D90675">
            <w:pPr>
              <w:rPr>
                <w:rFonts w:ascii="Arial" w:hAnsi="Arial" w:cs="Arial"/>
                <w:sz w:val="22"/>
                <w:szCs w:val="22"/>
              </w:rPr>
            </w:pPr>
          </w:p>
          <w:p w14:paraId="71C8A155" w14:textId="77777777" w:rsidR="008E7A6D" w:rsidRPr="000A56A6" w:rsidRDefault="008E7A6D" w:rsidP="00D90675">
            <w:pPr>
              <w:rPr>
                <w:rFonts w:ascii="Arial" w:hAnsi="Arial" w:cs="Arial"/>
                <w:sz w:val="22"/>
                <w:szCs w:val="22"/>
              </w:rPr>
            </w:pPr>
          </w:p>
          <w:p w14:paraId="38E23822" w14:textId="77777777" w:rsidR="008E7A6D" w:rsidRPr="000A56A6" w:rsidRDefault="008E7A6D" w:rsidP="00D90675">
            <w:pPr>
              <w:rPr>
                <w:rFonts w:ascii="Arial" w:hAnsi="Arial" w:cs="Arial"/>
                <w:sz w:val="22"/>
                <w:szCs w:val="22"/>
              </w:rPr>
            </w:pPr>
          </w:p>
          <w:p w14:paraId="59904CBD" w14:textId="77777777" w:rsidR="008E7A6D" w:rsidRPr="000A56A6" w:rsidRDefault="008E7A6D" w:rsidP="00D90675">
            <w:pPr>
              <w:rPr>
                <w:rFonts w:ascii="Arial" w:hAnsi="Arial" w:cs="Arial"/>
                <w:sz w:val="22"/>
                <w:szCs w:val="22"/>
              </w:rPr>
            </w:pPr>
          </w:p>
          <w:p w14:paraId="0FDCC714" w14:textId="77777777" w:rsidR="008E7A6D" w:rsidRPr="000A56A6" w:rsidRDefault="008E7A6D" w:rsidP="00D90675">
            <w:pPr>
              <w:rPr>
                <w:rFonts w:ascii="Arial" w:hAnsi="Arial" w:cs="Arial"/>
                <w:sz w:val="22"/>
                <w:szCs w:val="22"/>
              </w:rPr>
            </w:pPr>
          </w:p>
        </w:tc>
      </w:tr>
    </w:tbl>
    <w:p w14:paraId="0C4BD7CD" w14:textId="77777777" w:rsidR="00EF4139" w:rsidRDefault="00EF4139" w:rsidP="00EF4139">
      <w:pPr>
        <w:pStyle w:val="ListParagraph"/>
        <w:ind w:left="938"/>
        <w:rPr>
          <w:rFonts w:ascii="Arial" w:eastAsia="Times New Roman" w:hAnsi="Arial" w:cs="Arial"/>
          <w:b/>
          <w:sz w:val="18"/>
          <w:szCs w:val="18"/>
        </w:rPr>
      </w:pPr>
    </w:p>
    <w:p w14:paraId="77F9F105" w14:textId="77777777" w:rsidR="00EF4139"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For patients who received docetaxel in metastatic castrate sensitive space, is there evidence and interest for using </w:t>
      </w:r>
      <w:proofErr w:type="spellStart"/>
      <w:r w:rsidRPr="00EF4139">
        <w:rPr>
          <w:rFonts w:ascii="Arial" w:eastAsia="Times New Roman" w:hAnsi="Arial" w:cs="Arial"/>
          <w:b/>
          <w:sz w:val="18"/>
          <w:szCs w:val="18"/>
        </w:rPr>
        <w:t>olaparib</w:t>
      </w:r>
      <w:proofErr w:type="spellEnd"/>
      <w:r w:rsidRPr="00EF4139">
        <w:rPr>
          <w:rFonts w:ascii="Arial" w:eastAsia="Times New Roman" w:hAnsi="Arial" w:cs="Arial"/>
          <w:b/>
          <w:sz w:val="18"/>
          <w:szCs w:val="18"/>
        </w:rPr>
        <w:t xml:space="preserve"> in the castrate resistant space?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F4139" w:rsidRPr="000A56A6" w14:paraId="2B793FE2" w14:textId="77777777" w:rsidTr="002F0FB4">
        <w:tc>
          <w:tcPr>
            <w:tcW w:w="9940" w:type="dxa"/>
          </w:tcPr>
          <w:p w14:paraId="41E125DE" w14:textId="77777777" w:rsidR="00EF4139" w:rsidRPr="000A56A6" w:rsidRDefault="00EF4139" w:rsidP="002F0FB4">
            <w:pPr>
              <w:rPr>
                <w:rFonts w:ascii="Arial" w:hAnsi="Arial" w:cs="Arial"/>
                <w:sz w:val="22"/>
                <w:szCs w:val="22"/>
              </w:rPr>
            </w:pPr>
          </w:p>
          <w:p w14:paraId="75767E40" w14:textId="77777777" w:rsidR="00EF4139" w:rsidRPr="000A56A6" w:rsidRDefault="00EF4139" w:rsidP="002F0FB4">
            <w:pPr>
              <w:rPr>
                <w:rFonts w:ascii="Arial" w:hAnsi="Arial" w:cs="Arial"/>
                <w:sz w:val="22"/>
                <w:szCs w:val="22"/>
              </w:rPr>
            </w:pPr>
          </w:p>
          <w:p w14:paraId="5DD65DD3" w14:textId="77777777" w:rsidR="00EF4139" w:rsidRPr="000A56A6" w:rsidRDefault="00EF4139" w:rsidP="002F0FB4">
            <w:pPr>
              <w:rPr>
                <w:rFonts w:ascii="Arial" w:hAnsi="Arial" w:cs="Arial"/>
                <w:sz w:val="22"/>
                <w:szCs w:val="22"/>
              </w:rPr>
            </w:pPr>
          </w:p>
          <w:p w14:paraId="03DA5C2B" w14:textId="77777777" w:rsidR="00EF4139" w:rsidRPr="000A56A6" w:rsidRDefault="00EF4139" w:rsidP="002F0FB4">
            <w:pPr>
              <w:rPr>
                <w:rFonts w:ascii="Arial" w:hAnsi="Arial" w:cs="Arial"/>
                <w:sz w:val="22"/>
                <w:szCs w:val="22"/>
              </w:rPr>
            </w:pPr>
          </w:p>
          <w:p w14:paraId="6B0EA267" w14:textId="77777777" w:rsidR="00EF4139" w:rsidRPr="000A56A6" w:rsidRDefault="00EF4139" w:rsidP="002F0FB4">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01D7B1AA" w14:textId="77777777" w:rsidR="00EF4139" w:rsidRPr="00E5014E" w:rsidRDefault="00EF4139" w:rsidP="00EF4139">
      <w:pPr>
        <w:pStyle w:val="ListParagraph"/>
        <w:ind w:left="938"/>
        <w:rPr>
          <w:rFonts w:ascii="Arial" w:eastAsia="Times New Roman" w:hAnsi="Arial" w:cs="Arial"/>
          <w:b/>
          <w:sz w:val="18"/>
          <w:szCs w:val="18"/>
        </w:rPr>
      </w:pPr>
      <w:bookmarkStart w:id="9" w:name="_Toc439923603"/>
      <w:bookmarkEnd w:id="8"/>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4AC7670D" w14:textId="77777777" w:rsidR="00EF4139" w:rsidRDefault="00EF4139" w:rsidP="00EF4139">
      <w:pPr>
        <w:pStyle w:val="ListParagraph"/>
        <w:ind w:left="938"/>
        <w:rPr>
          <w:rFonts w:ascii="Arial" w:eastAsia="Times New Roman" w:hAnsi="Arial" w:cs="Arial"/>
          <w:b/>
          <w:sz w:val="18"/>
          <w:szCs w:val="18"/>
        </w:rPr>
      </w:pPr>
    </w:p>
    <w:p w14:paraId="3D5C7FF1" w14:textId="77777777" w:rsidR="00EF4139" w:rsidRPr="00EF4139" w:rsidRDefault="00EF4139" w:rsidP="00EF4139">
      <w:pPr>
        <w:pStyle w:val="ListParagraph"/>
        <w:numPr>
          <w:ilvl w:val="0"/>
          <w:numId w:val="42"/>
        </w:numPr>
        <w:rPr>
          <w:rFonts w:ascii="Arial" w:eastAsia="Times New Roman" w:hAnsi="Arial" w:cs="Arial"/>
          <w:b/>
          <w:sz w:val="18"/>
          <w:szCs w:val="18"/>
        </w:rPr>
      </w:pPr>
      <w:r w:rsidRPr="00EF4139">
        <w:rPr>
          <w:rFonts w:ascii="Arial" w:eastAsia="Times New Roman" w:hAnsi="Arial" w:cs="Arial"/>
          <w:b/>
          <w:sz w:val="18"/>
          <w:szCs w:val="18"/>
        </w:rPr>
        <w:t xml:space="preserve">When should mutation testing occur?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F4139" w:rsidRPr="000A56A6" w14:paraId="07FB084B" w14:textId="77777777" w:rsidTr="002F0FB4">
        <w:tc>
          <w:tcPr>
            <w:tcW w:w="9940" w:type="dxa"/>
          </w:tcPr>
          <w:p w14:paraId="6A0C04F9" w14:textId="77777777" w:rsidR="00EF4139" w:rsidRPr="000A56A6" w:rsidRDefault="00EF4139" w:rsidP="002F0FB4">
            <w:pPr>
              <w:rPr>
                <w:rFonts w:ascii="Arial" w:hAnsi="Arial" w:cs="Arial"/>
                <w:sz w:val="22"/>
                <w:szCs w:val="22"/>
              </w:rPr>
            </w:pPr>
          </w:p>
          <w:p w14:paraId="6A27C329" w14:textId="77777777" w:rsidR="00EF4139" w:rsidRPr="000A56A6" w:rsidRDefault="00EF4139" w:rsidP="002F0FB4">
            <w:pPr>
              <w:rPr>
                <w:rFonts w:ascii="Arial" w:hAnsi="Arial" w:cs="Arial"/>
                <w:sz w:val="22"/>
                <w:szCs w:val="22"/>
              </w:rPr>
            </w:pPr>
          </w:p>
          <w:p w14:paraId="1276DBA8" w14:textId="77777777" w:rsidR="00EF4139" w:rsidRPr="000A56A6" w:rsidRDefault="00EF4139" w:rsidP="002F0FB4">
            <w:pPr>
              <w:rPr>
                <w:rFonts w:ascii="Arial" w:hAnsi="Arial" w:cs="Arial"/>
                <w:sz w:val="22"/>
                <w:szCs w:val="22"/>
              </w:rPr>
            </w:pPr>
          </w:p>
          <w:p w14:paraId="74D574C0" w14:textId="77777777" w:rsidR="00EF4139" w:rsidRPr="000A56A6" w:rsidRDefault="00EF4139" w:rsidP="002F0FB4">
            <w:pPr>
              <w:rPr>
                <w:rFonts w:ascii="Arial" w:hAnsi="Arial" w:cs="Arial"/>
                <w:sz w:val="22"/>
                <w:szCs w:val="22"/>
              </w:rPr>
            </w:pPr>
          </w:p>
          <w:p w14:paraId="3BECD6D9" w14:textId="77777777" w:rsidR="00EF4139" w:rsidRPr="000A56A6" w:rsidRDefault="00EF4139" w:rsidP="002F0FB4">
            <w:pPr>
              <w:rPr>
                <w:rFonts w:ascii="Arial" w:hAnsi="Arial" w:cs="Arial"/>
                <w:sz w:val="22"/>
                <w:szCs w:val="22"/>
              </w:rPr>
            </w:pPr>
          </w:p>
        </w:tc>
      </w:tr>
    </w:tbl>
    <w:p w14:paraId="370FC91C" w14:textId="77777777" w:rsidR="00F10682" w:rsidRDefault="00F10682" w:rsidP="000028EA">
      <w:pPr>
        <w:pStyle w:val="BodyCopy"/>
        <w:spacing w:after="120" w:line="240" w:lineRule="auto"/>
        <w:rPr>
          <w:b/>
          <w:color w:val="0067B9"/>
          <w:sz w:val="24"/>
          <w:szCs w:val="28"/>
        </w:rPr>
      </w:pPr>
    </w:p>
    <w:p w14:paraId="52436C96" w14:textId="77777777" w:rsidR="00F10682" w:rsidRDefault="00F10682" w:rsidP="000028EA">
      <w:pPr>
        <w:pStyle w:val="BodyCopy"/>
        <w:spacing w:after="120" w:line="240" w:lineRule="auto"/>
        <w:rPr>
          <w:b/>
          <w:color w:val="0067B9"/>
          <w:sz w:val="24"/>
          <w:szCs w:val="28"/>
        </w:rPr>
      </w:pPr>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7E521C"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7E521C"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7E521C"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521C"/>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9875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3314-FE06-4CEF-8E46-706B8F7F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2020-09-17T20:12:00Z</dcterms:created>
  <dcterms:modified xsi:type="dcterms:W3CDTF">2020-09-17T20:12:00Z</dcterms:modified>
</cp:coreProperties>
</file>