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CF3176C" w:rsidR="00121EB1" w:rsidRPr="00EB0EEF" w:rsidRDefault="004D50E1" w:rsidP="00EB0EEF">
            <w:pPr>
              <w:pStyle w:val="DocumentTitle"/>
              <w:tabs>
                <w:tab w:val="left" w:pos="1074"/>
              </w:tabs>
              <w:spacing w:before="0" w:after="0"/>
              <w:rPr>
                <w:sz w:val="18"/>
                <w:szCs w:val="20"/>
              </w:rPr>
            </w:pPr>
            <w:r>
              <w:rPr>
                <w:sz w:val="18"/>
                <w:szCs w:val="20"/>
              </w:rPr>
              <w:t>pCODR 102</w:t>
            </w:r>
            <w:r w:rsidR="003A7EFB">
              <w:rPr>
                <w:sz w:val="18"/>
                <w:szCs w:val="20"/>
              </w:rPr>
              <w:t>2</w:t>
            </w:r>
            <w:r w:rsidR="00276D41">
              <w:rPr>
                <w:sz w:val="18"/>
                <w:szCs w:val="20"/>
              </w:rPr>
              <w:t>6</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5E27D6A" w:rsidR="00F369F8" w:rsidRPr="00EB0EEF" w:rsidRDefault="003A7EFB" w:rsidP="00EB0EEF">
            <w:pPr>
              <w:pStyle w:val="DocumentTitle"/>
              <w:tabs>
                <w:tab w:val="left" w:pos="1074"/>
              </w:tabs>
              <w:spacing w:before="0" w:after="0"/>
              <w:rPr>
                <w:sz w:val="18"/>
                <w:szCs w:val="20"/>
              </w:rPr>
            </w:pPr>
            <w:r>
              <w:rPr>
                <w:sz w:val="18"/>
                <w:szCs w:val="20"/>
              </w:rPr>
              <w:t>Dabrafenib</w:t>
            </w:r>
            <w:r w:rsidR="008C032D">
              <w:rPr>
                <w:sz w:val="18"/>
                <w:szCs w:val="20"/>
              </w:rPr>
              <w:t xml:space="preserve"> mesy</w:t>
            </w:r>
            <w:r w:rsidR="00A44812">
              <w:rPr>
                <w:sz w:val="18"/>
                <w:szCs w:val="20"/>
              </w:rPr>
              <w:t>l</w:t>
            </w:r>
            <w:r w:rsidR="008C032D">
              <w:rPr>
                <w:sz w:val="18"/>
                <w:szCs w:val="20"/>
              </w:rPr>
              <w:t>ate</w:t>
            </w:r>
            <w:r>
              <w:rPr>
                <w:sz w:val="18"/>
                <w:szCs w:val="20"/>
              </w:rPr>
              <w:t xml:space="preserve"> (</w:t>
            </w:r>
            <w:r w:rsidR="008C032D">
              <w:rPr>
                <w:sz w:val="18"/>
                <w:szCs w:val="20"/>
              </w:rPr>
              <w:t>Tafinlar</w:t>
            </w:r>
            <w:r>
              <w:rPr>
                <w:sz w:val="18"/>
                <w:szCs w:val="20"/>
              </w:rPr>
              <w:t>) and Trametinib</w:t>
            </w:r>
            <w:r w:rsidR="004D50E1">
              <w:rPr>
                <w:sz w:val="18"/>
                <w:szCs w:val="20"/>
              </w:rPr>
              <w:t xml:space="preserve"> </w:t>
            </w:r>
            <w:r w:rsidR="00F610F4">
              <w:rPr>
                <w:sz w:val="18"/>
                <w:szCs w:val="20"/>
              </w:rPr>
              <w:t>(</w:t>
            </w:r>
            <w:r>
              <w:rPr>
                <w:sz w:val="18"/>
                <w:szCs w:val="20"/>
              </w:rPr>
              <w:t>Mekinist</w:t>
            </w:r>
            <w:r w:rsidR="0083771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0C29D9CE" w:rsidR="00F369F8" w:rsidRPr="00EB0EEF" w:rsidRDefault="00276D41" w:rsidP="00276D41">
            <w:pPr>
              <w:pStyle w:val="DocumentTitle"/>
              <w:tabs>
                <w:tab w:val="left" w:pos="1074"/>
              </w:tabs>
              <w:spacing w:after="0"/>
              <w:rPr>
                <w:sz w:val="18"/>
                <w:szCs w:val="20"/>
              </w:rPr>
            </w:pPr>
            <w:r>
              <w:rPr>
                <w:sz w:val="18"/>
                <w:szCs w:val="20"/>
              </w:rPr>
              <w:t xml:space="preserve">Dabrafenib in combination </w:t>
            </w:r>
            <w:r w:rsidRPr="00276D41">
              <w:rPr>
                <w:sz w:val="18"/>
                <w:szCs w:val="20"/>
              </w:rPr>
              <w:t>with trametinib is indicated for the treatment of patients with metastatic</w:t>
            </w:r>
            <w:r>
              <w:rPr>
                <w:sz w:val="18"/>
                <w:szCs w:val="20"/>
              </w:rPr>
              <w:t xml:space="preserve"> </w:t>
            </w:r>
            <w:r w:rsidRPr="00276D41">
              <w:rPr>
                <w:sz w:val="18"/>
                <w:szCs w:val="20"/>
              </w:rPr>
              <w:t>non-small cell lung cancer (NSCLC) with a BRAF V600 mutation.</w:t>
            </w:r>
            <w:r w:rsidR="0000211F">
              <w:rPr>
                <w:sz w:val="18"/>
                <w:szCs w:val="20"/>
              </w:rPr>
              <w:t xml:space="preserve"> </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424A189C" w:rsidR="00F369F8" w:rsidRPr="00EB0EEF" w:rsidRDefault="00454155" w:rsidP="00454155">
            <w:pPr>
              <w:pStyle w:val="DocumentTitle"/>
              <w:tabs>
                <w:tab w:val="left" w:pos="1074"/>
              </w:tabs>
              <w:spacing w:after="0"/>
              <w:rPr>
                <w:sz w:val="18"/>
                <w:szCs w:val="20"/>
              </w:rPr>
            </w:pPr>
            <w:r>
              <w:rPr>
                <w:sz w:val="18"/>
                <w:szCs w:val="20"/>
              </w:rPr>
              <w:t xml:space="preserve">Dabrafenib in combination </w:t>
            </w:r>
            <w:r w:rsidRPr="00276D41">
              <w:rPr>
                <w:sz w:val="18"/>
                <w:szCs w:val="20"/>
              </w:rPr>
              <w:t xml:space="preserve">with trametinib </w:t>
            </w:r>
            <w:r w:rsidRPr="00454155">
              <w:rPr>
                <w:sz w:val="18"/>
                <w:szCs w:val="20"/>
              </w:rPr>
              <w:t>for the treatment of patients with metastatic NSCLC</w:t>
            </w:r>
            <w:r>
              <w:rPr>
                <w:sz w:val="18"/>
                <w:szCs w:val="20"/>
              </w:rPr>
              <w:t xml:space="preserve"> </w:t>
            </w:r>
            <w:r w:rsidRPr="00454155">
              <w:rPr>
                <w:sz w:val="18"/>
                <w:szCs w:val="20"/>
              </w:rPr>
              <w:t>with a BRAF V600 mutation and who have not received any prior anti-cancer therapy for metastatic disease.</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2AF8FBD" w14:textId="161171CD" w:rsidR="00CC380E" w:rsidRPr="00276D41" w:rsidRDefault="00276D41" w:rsidP="00751305">
            <w:pPr>
              <w:pStyle w:val="DocumentTitle"/>
              <w:tabs>
                <w:tab w:val="left" w:pos="1074"/>
              </w:tabs>
              <w:spacing w:before="0" w:after="0"/>
              <w:rPr>
                <w:sz w:val="18"/>
                <w:szCs w:val="18"/>
              </w:rPr>
            </w:pPr>
            <w:r w:rsidRPr="00276D41">
              <w:rPr>
                <w:color w:val="333333"/>
                <w:sz w:val="18"/>
                <w:szCs w:val="18"/>
                <w:shd w:val="clear" w:color="auto" w:fill="FFFFFF"/>
              </w:rPr>
              <w:t xml:space="preserve">BRF113928 </w:t>
            </w:r>
            <w:r w:rsidR="00756B5C">
              <w:rPr>
                <w:color w:val="333333"/>
                <w:sz w:val="18"/>
                <w:szCs w:val="18"/>
                <w:shd w:val="clear" w:color="auto" w:fill="FFFFFF"/>
              </w:rPr>
              <w:t xml:space="preserve">trial </w:t>
            </w:r>
            <w:r w:rsidRPr="00276D41">
              <w:rPr>
                <w:color w:val="333333"/>
                <w:sz w:val="18"/>
                <w:szCs w:val="18"/>
                <w:shd w:val="clear" w:color="auto" w:fill="FFFFFF"/>
              </w:rPr>
              <w:t>(</w:t>
            </w:r>
            <w:hyperlink r:id="rId14" w:tgtFrame="_blank" w:history="1">
              <w:r w:rsidRPr="00276D41">
                <w:rPr>
                  <w:rStyle w:val="Hyperlink"/>
                  <w:color w:val="007FAA"/>
                  <w:sz w:val="18"/>
                  <w:szCs w:val="18"/>
                  <w:shd w:val="clear" w:color="auto" w:fill="FFFFFF"/>
                </w:rPr>
                <w:t>NCT01336634</w:t>
              </w:r>
            </w:hyperlink>
            <w:r w:rsidRPr="00276D41">
              <w:rPr>
                <w:color w:val="333333"/>
                <w:sz w:val="18"/>
                <w:szCs w:val="18"/>
                <w:shd w:val="clear" w:color="auto" w:fill="FFFFFF"/>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CB880D2" w:rsidR="00275E1C" w:rsidRPr="00AF4DB1" w:rsidRDefault="003A7EFB" w:rsidP="00EB0EEF">
            <w:pPr>
              <w:pStyle w:val="DocumentTitle"/>
              <w:tabs>
                <w:tab w:val="left" w:pos="1074"/>
              </w:tabs>
              <w:spacing w:before="0" w:after="0"/>
              <w:rPr>
                <w:sz w:val="18"/>
                <w:szCs w:val="20"/>
              </w:rPr>
            </w:pPr>
            <w:r>
              <w:rPr>
                <w:sz w:val="18"/>
                <w:szCs w:val="20"/>
              </w:rPr>
              <w:t>Approved</w:t>
            </w:r>
            <w:r w:rsidR="00AF4DB1" w:rsidRPr="00AF4DB1">
              <w:rPr>
                <w:sz w:val="18"/>
                <w:szCs w:val="20"/>
              </w:rPr>
              <w:t xml:space="preserve"> (</w:t>
            </w:r>
            <w:r w:rsidR="00B660D3">
              <w:rPr>
                <w:sz w:val="18"/>
                <w:szCs w:val="20"/>
              </w:rPr>
              <w:t>0</w:t>
            </w:r>
            <w:r>
              <w:rPr>
                <w:sz w:val="18"/>
                <w:szCs w:val="20"/>
              </w:rPr>
              <w:t>5</w:t>
            </w:r>
            <w:r w:rsidR="00AF4DB1" w:rsidRPr="00AF4DB1">
              <w:rPr>
                <w:sz w:val="18"/>
                <w:szCs w:val="20"/>
              </w:rPr>
              <w:t>-</w:t>
            </w:r>
            <w:r>
              <w:rPr>
                <w:sz w:val="18"/>
                <w:szCs w:val="20"/>
              </w:rPr>
              <w:t>1</w:t>
            </w:r>
            <w:r w:rsidR="00756B5C">
              <w:rPr>
                <w:sz w:val="18"/>
                <w:szCs w:val="20"/>
              </w:rPr>
              <w:t>8</w:t>
            </w:r>
            <w:r w:rsidR="00AF4DB1" w:rsidRPr="00AF4DB1">
              <w:rPr>
                <w:sz w:val="18"/>
                <w:szCs w:val="20"/>
              </w:rPr>
              <w:t>-20</w:t>
            </w:r>
            <w:r>
              <w:rPr>
                <w:sz w:val="18"/>
                <w:szCs w:val="20"/>
              </w:rPr>
              <w:t>18</w:t>
            </w:r>
            <w:r w:rsidR="00AF4DB1" w:rsidRPr="00AF4DB1">
              <w:rPr>
                <w:sz w:val="18"/>
                <w:szCs w:val="20"/>
              </w:rPr>
              <w:t>)</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7581B6F1" w:rsidR="00275E1C" w:rsidRPr="00AF4DB1" w:rsidRDefault="00AF4DB1" w:rsidP="00AF4DB1">
            <w:pPr>
              <w:pStyle w:val="DocumentTitle"/>
              <w:tabs>
                <w:tab w:val="left" w:pos="1074"/>
              </w:tabs>
              <w:spacing w:before="0" w:after="0"/>
              <w:rPr>
                <w:sz w:val="18"/>
                <w:szCs w:val="20"/>
              </w:rPr>
            </w:pPr>
            <w:r w:rsidRPr="00AF4DB1">
              <w:rPr>
                <w:sz w:val="18"/>
                <w:szCs w:val="20"/>
              </w:rPr>
              <w:t>Approved (0</w:t>
            </w:r>
            <w:r w:rsidR="00756B5C">
              <w:rPr>
                <w:sz w:val="18"/>
                <w:szCs w:val="20"/>
              </w:rPr>
              <w:t>6</w:t>
            </w:r>
            <w:r w:rsidRPr="00AF4DB1">
              <w:rPr>
                <w:sz w:val="18"/>
                <w:szCs w:val="20"/>
              </w:rPr>
              <w:t>-</w:t>
            </w:r>
            <w:r w:rsidR="00756B5C">
              <w:rPr>
                <w:sz w:val="18"/>
                <w:szCs w:val="20"/>
              </w:rPr>
              <w:t>22</w:t>
            </w:r>
            <w:r w:rsidRPr="00AF4DB1">
              <w:rPr>
                <w:sz w:val="18"/>
                <w:szCs w:val="20"/>
              </w:rPr>
              <w:t>-20</w:t>
            </w:r>
            <w:r w:rsidR="003A7EFB">
              <w:rPr>
                <w:sz w:val="18"/>
                <w:szCs w:val="20"/>
              </w:rPr>
              <w:t>1</w:t>
            </w:r>
            <w:r w:rsidR="00756B5C">
              <w:rPr>
                <w:sz w:val="18"/>
                <w:szCs w:val="20"/>
              </w:rPr>
              <w:t>7</w:t>
            </w:r>
            <w:r w:rsidRPr="00AF4DB1">
              <w:rPr>
                <w:sz w:val="18"/>
                <w:szCs w:val="20"/>
              </w:rPr>
              <w:t>)</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B6EBADB" w:rsidR="00F369F8" w:rsidRPr="00AF4DB1" w:rsidRDefault="0030301E" w:rsidP="00EB0EEF">
            <w:pPr>
              <w:pStyle w:val="DocumentTitle"/>
              <w:tabs>
                <w:tab w:val="left" w:pos="1074"/>
              </w:tabs>
              <w:spacing w:before="0" w:after="0"/>
              <w:rPr>
                <w:sz w:val="18"/>
                <w:szCs w:val="20"/>
              </w:rPr>
            </w:pPr>
            <w:r>
              <w:rPr>
                <w:sz w:val="18"/>
                <w:szCs w:val="20"/>
              </w:rPr>
              <w:t>Approved (0</w:t>
            </w:r>
            <w:r w:rsidR="00756B5C">
              <w:rPr>
                <w:sz w:val="18"/>
                <w:szCs w:val="20"/>
              </w:rPr>
              <w:t>3</w:t>
            </w:r>
            <w:r>
              <w:rPr>
                <w:sz w:val="18"/>
                <w:szCs w:val="20"/>
              </w:rPr>
              <w:t>-</w:t>
            </w:r>
            <w:r w:rsidR="003A7EFB">
              <w:rPr>
                <w:sz w:val="18"/>
                <w:szCs w:val="20"/>
              </w:rPr>
              <w:t>2</w:t>
            </w:r>
            <w:r w:rsidR="00756B5C">
              <w:rPr>
                <w:sz w:val="18"/>
                <w:szCs w:val="20"/>
              </w:rPr>
              <w:t>9</w:t>
            </w:r>
            <w:r>
              <w:rPr>
                <w:sz w:val="18"/>
                <w:szCs w:val="20"/>
              </w:rPr>
              <w:t>-20</w:t>
            </w:r>
            <w:r w:rsidR="003A7EFB">
              <w:rPr>
                <w:sz w:val="18"/>
                <w:szCs w:val="20"/>
              </w:rPr>
              <w:t>1</w:t>
            </w:r>
            <w:r w:rsidR="00756B5C">
              <w:rPr>
                <w:sz w:val="18"/>
                <w:szCs w:val="20"/>
              </w:rPr>
              <w:t>7</w:t>
            </w:r>
            <w:r>
              <w:rPr>
                <w:sz w:val="18"/>
                <w:szCs w:val="20"/>
              </w:rPr>
              <w:t>)</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7EB28B76" w:rsidR="00420EEA" w:rsidRPr="00EB0EEF" w:rsidRDefault="00F8133D"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7CBC806F" w:rsidR="00420EEA" w:rsidRPr="00AF4DB1" w:rsidRDefault="003A7EFB" w:rsidP="00A8290F">
            <w:pPr>
              <w:pStyle w:val="DocumentTitle"/>
              <w:tabs>
                <w:tab w:val="left" w:pos="1074"/>
              </w:tabs>
              <w:spacing w:before="0" w:after="0"/>
              <w:rPr>
                <w:sz w:val="18"/>
                <w:szCs w:val="20"/>
              </w:rPr>
            </w:pPr>
            <w:r w:rsidRPr="003A7EFB">
              <w:rPr>
                <w:sz w:val="18"/>
                <w:szCs w:val="20"/>
              </w:rPr>
              <w:t>There is no specific first-line therapy for BRAF V600-mutated NSCLC. The standard first line treatment for patients with NSCLC</w:t>
            </w:r>
            <w:bookmarkStart w:id="0" w:name="_GoBack"/>
            <w:bookmarkEnd w:id="0"/>
            <w:r w:rsidRPr="003A7EFB">
              <w:rPr>
                <w:sz w:val="18"/>
                <w:szCs w:val="20"/>
              </w:rPr>
              <w:t xml:space="preserve"> is histology-specific platinum doublet chemotherapy. Pembrolizumab monotherapy is available for patients whose tumours have high (≥50%) PD-L1 expression. For patients with any level of PD-L1 expression, pembrolizumab in combination with chemotherapy is also available. PAG noted that nivolumab-ipilimumab in combination with chemotherapy for first line NSCLC is currently under review at pCODR. In addition, PAG noted that atezolizumab as monotherapy for the first-line treatment of patients with metastatic NSCLC whose tumours have high PD-L1 expression as determined by a validated test and who do not have EGFR or ALK genomic tumour aberrations is currently under review at pCODR.  Targeted therapies are available for NSCLC with known activating mutations or genetic aberrations in ALK and EGFR genes.</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F8133D"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8A2B26">
        <w:tc>
          <w:tcPr>
            <w:tcW w:w="10120"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5DA4CD13" w14:textId="5D94534D" w:rsidR="004F6B3C" w:rsidRPr="004F6B3C" w:rsidRDefault="004F6B3C" w:rsidP="004F6B3C">
      <w:pPr>
        <w:pStyle w:val="ListParagraph"/>
        <w:numPr>
          <w:ilvl w:val="0"/>
          <w:numId w:val="49"/>
        </w:numPr>
        <w:rPr>
          <w:rFonts w:ascii="Arial" w:eastAsia="Times New Roman" w:hAnsi="Arial" w:cs="Arial"/>
          <w:b/>
          <w:sz w:val="18"/>
          <w:szCs w:val="18"/>
        </w:rPr>
      </w:pPr>
      <w:r w:rsidRPr="004F6B3C">
        <w:rPr>
          <w:rFonts w:ascii="Arial" w:eastAsia="Times New Roman" w:hAnsi="Arial" w:cs="Arial"/>
          <w:b/>
          <w:sz w:val="18"/>
          <w:szCs w:val="18"/>
        </w:rPr>
        <w:t>Is there evidence or is it reasonable to continue dabrafenib with trametinib for patients who experience a single or isolated site of disease progression that can be treated "locally" (e.g., a localized treatment modality like RT or RFA)?</w:t>
      </w:r>
    </w:p>
    <w:p w14:paraId="282FBEE6" w14:textId="277E792B" w:rsidR="008A2B26" w:rsidRPr="008A2B26" w:rsidRDefault="008A2B26"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1F935F98" w14:textId="244ECEB6" w:rsidR="004F6B3C" w:rsidRPr="004F6B3C" w:rsidRDefault="004F6B3C" w:rsidP="004F6B3C">
      <w:pPr>
        <w:pStyle w:val="ListParagraph"/>
        <w:numPr>
          <w:ilvl w:val="0"/>
          <w:numId w:val="42"/>
        </w:numPr>
        <w:rPr>
          <w:rFonts w:ascii="Arial" w:eastAsia="Times New Roman" w:hAnsi="Arial" w:cs="Arial"/>
          <w:b/>
          <w:sz w:val="18"/>
          <w:szCs w:val="18"/>
        </w:rPr>
      </w:pPr>
      <w:r w:rsidRPr="004F6B3C">
        <w:rPr>
          <w:rFonts w:ascii="Arial" w:eastAsia="Times New Roman" w:hAnsi="Arial" w:cs="Arial"/>
          <w:b/>
          <w:sz w:val="18"/>
          <w:szCs w:val="18"/>
        </w:rPr>
        <w:t>What evidence is there to inform treatment upon progression of dabrafenib and trametinib in patients with BRAF mutation positive NSCLC?</w:t>
      </w:r>
    </w:p>
    <w:p w14:paraId="690748A5" w14:textId="65F78639" w:rsidR="008E7A6D" w:rsidRPr="00B660D3" w:rsidRDefault="008E7A6D"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0D943196" w14:textId="77777777" w:rsidR="004F6B3C" w:rsidRDefault="004F6B3C" w:rsidP="004F6B3C">
      <w:pPr>
        <w:pStyle w:val="ListParagraph"/>
        <w:ind w:left="938"/>
        <w:rPr>
          <w:rFonts w:ascii="Arial" w:eastAsia="Times New Roman" w:hAnsi="Arial" w:cs="Arial"/>
          <w:b/>
          <w:sz w:val="18"/>
          <w:szCs w:val="18"/>
        </w:rPr>
      </w:pPr>
    </w:p>
    <w:p w14:paraId="51DB1A7F" w14:textId="77777777" w:rsidR="004F6B3C" w:rsidRDefault="004F6B3C" w:rsidP="004F6B3C">
      <w:pPr>
        <w:pStyle w:val="ListParagraph"/>
        <w:ind w:left="938"/>
        <w:rPr>
          <w:rFonts w:ascii="Arial" w:eastAsia="Times New Roman" w:hAnsi="Arial" w:cs="Arial"/>
          <w:b/>
          <w:sz w:val="18"/>
          <w:szCs w:val="18"/>
        </w:rPr>
      </w:pPr>
    </w:p>
    <w:p w14:paraId="341D9900" w14:textId="093F0623" w:rsidR="004F6B3C" w:rsidRPr="004F6B3C" w:rsidRDefault="004F6B3C" w:rsidP="004F6B3C">
      <w:pPr>
        <w:pStyle w:val="ListParagraph"/>
        <w:numPr>
          <w:ilvl w:val="0"/>
          <w:numId w:val="42"/>
        </w:numPr>
        <w:rPr>
          <w:rFonts w:ascii="Arial" w:eastAsia="Times New Roman" w:hAnsi="Arial" w:cs="Arial"/>
          <w:b/>
          <w:sz w:val="18"/>
          <w:szCs w:val="18"/>
        </w:rPr>
      </w:pPr>
      <w:r w:rsidRPr="004F6B3C">
        <w:rPr>
          <w:rFonts w:ascii="Arial" w:eastAsia="Times New Roman" w:hAnsi="Arial" w:cs="Arial"/>
          <w:b/>
          <w:sz w:val="18"/>
          <w:szCs w:val="18"/>
        </w:rPr>
        <w:t>Does PDL1 status have any influence on the preferred treatment sequence ?</w:t>
      </w:r>
    </w:p>
    <w:p w14:paraId="052A5C6F" w14:textId="02ECE7B9" w:rsidR="004F6B3C" w:rsidRPr="004F6B3C" w:rsidRDefault="004F6B3C" w:rsidP="004F6B3C">
      <w:pPr>
        <w:pStyle w:val="ListParagraph"/>
        <w:ind w:left="938"/>
        <w:rPr>
          <w:rFonts w:ascii="Arial" w:eastAsia="Times New Roman" w:hAnsi="Arial" w:cs="Arial"/>
          <w:b/>
          <w:sz w:val="18"/>
          <w:szCs w:val="18"/>
        </w:rPr>
      </w:pPr>
    </w:p>
    <w:p w14:paraId="4528B98F" w14:textId="77777777" w:rsidR="004F6B3C" w:rsidRPr="00B660D3" w:rsidRDefault="004F6B3C" w:rsidP="004F6B3C">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4F6B3C" w:rsidRPr="000A56A6" w14:paraId="0F6AA801" w14:textId="77777777" w:rsidTr="00437F52">
        <w:tc>
          <w:tcPr>
            <w:tcW w:w="9940" w:type="dxa"/>
          </w:tcPr>
          <w:p w14:paraId="4663755F" w14:textId="77777777" w:rsidR="004F6B3C" w:rsidRPr="000A56A6" w:rsidRDefault="004F6B3C" w:rsidP="00437F52">
            <w:pPr>
              <w:rPr>
                <w:rFonts w:ascii="Arial" w:hAnsi="Arial" w:cs="Arial"/>
                <w:sz w:val="22"/>
                <w:szCs w:val="22"/>
              </w:rPr>
            </w:pPr>
          </w:p>
          <w:p w14:paraId="709A8FDB" w14:textId="77777777" w:rsidR="004F6B3C" w:rsidRPr="000A56A6" w:rsidRDefault="004F6B3C" w:rsidP="00437F52">
            <w:pPr>
              <w:rPr>
                <w:rFonts w:ascii="Arial" w:hAnsi="Arial" w:cs="Arial"/>
                <w:sz w:val="22"/>
                <w:szCs w:val="22"/>
              </w:rPr>
            </w:pPr>
          </w:p>
          <w:p w14:paraId="748DB64C" w14:textId="77777777" w:rsidR="004F6B3C" w:rsidRPr="000A56A6" w:rsidRDefault="004F6B3C" w:rsidP="00437F52">
            <w:pPr>
              <w:rPr>
                <w:rFonts w:ascii="Arial" w:hAnsi="Arial" w:cs="Arial"/>
                <w:sz w:val="22"/>
                <w:szCs w:val="22"/>
              </w:rPr>
            </w:pPr>
          </w:p>
          <w:p w14:paraId="7B97779E" w14:textId="77777777" w:rsidR="004F6B3C" w:rsidRPr="000A56A6" w:rsidRDefault="004F6B3C" w:rsidP="00437F52">
            <w:pPr>
              <w:rPr>
                <w:rFonts w:ascii="Arial" w:hAnsi="Arial" w:cs="Arial"/>
                <w:sz w:val="22"/>
                <w:szCs w:val="22"/>
              </w:rPr>
            </w:pPr>
          </w:p>
          <w:p w14:paraId="7CD4EBE5" w14:textId="77777777" w:rsidR="004F6B3C" w:rsidRPr="000A56A6" w:rsidRDefault="004F6B3C" w:rsidP="00437F52">
            <w:pPr>
              <w:rPr>
                <w:rFonts w:ascii="Arial" w:hAnsi="Arial" w:cs="Arial"/>
                <w:sz w:val="22"/>
                <w:szCs w:val="22"/>
              </w:rPr>
            </w:pPr>
          </w:p>
        </w:tc>
      </w:tr>
    </w:tbl>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436C96" w14:textId="77777777" w:rsidR="00F10682" w:rsidRDefault="00F10682" w:rsidP="000028EA">
      <w:pPr>
        <w:pStyle w:val="BodyCopy"/>
        <w:spacing w:after="120" w:line="240" w:lineRule="auto"/>
        <w:rPr>
          <w:b/>
          <w:color w:val="0067B9"/>
          <w:sz w:val="24"/>
          <w:szCs w:val="28"/>
        </w:rPr>
      </w:pPr>
      <w:bookmarkStart w:id="9" w:name="_Toc439923603"/>
      <w:bookmarkEnd w:id="8"/>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F8133D"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F8133D"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F8133D"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5DF6AD1"/>
    <w:multiLevelType w:val="hybridMultilevel"/>
    <w:tmpl w:val="1EBA48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3"/>
  </w:num>
  <w:num w:numId="16">
    <w:abstractNumId w:val="28"/>
  </w:num>
  <w:num w:numId="17">
    <w:abstractNumId w:val="32"/>
  </w:num>
  <w:num w:numId="18">
    <w:abstractNumId w:val="48"/>
  </w:num>
  <w:num w:numId="19">
    <w:abstractNumId w:val="30"/>
  </w:num>
  <w:num w:numId="20">
    <w:abstractNumId w:val="11"/>
  </w:num>
  <w:num w:numId="21">
    <w:abstractNumId w:val="9"/>
  </w:num>
  <w:num w:numId="22">
    <w:abstractNumId w:val="29"/>
  </w:num>
  <w:num w:numId="23">
    <w:abstractNumId w:val="46"/>
  </w:num>
  <w:num w:numId="24">
    <w:abstractNumId w:val="15"/>
  </w:num>
  <w:num w:numId="25">
    <w:abstractNumId w:val="27"/>
  </w:num>
  <w:num w:numId="26">
    <w:abstractNumId w:val="37"/>
  </w:num>
  <w:num w:numId="27">
    <w:abstractNumId w:val="20"/>
  </w:num>
  <w:num w:numId="28">
    <w:abstractNumId w:val="26"/>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4"/>
  </w:num>
  <w:num w:numId="36">
    <w:abstractNumId w:val="23"/>
  </w:num>
  <w:num w:numId="37">
    <w:abstractNumId w:val="22"/>
  </w:num>
  <w:num w:numId="38">
    <w:abstractNumId w:val="12"/>
  </w:num>
  <w:num w:numId="39">
    <w:abstractNumId w:val="45"/>
  </w:num>
  <w:num w:numId="40">
    <w:abstractNumId w:val="16"/>
  </w:num>
  <w:num w:numId="41">
    <w:abstractNumId w:val="40"/>
  </w:num>
  <w:num w:numId="42">
    <w:abstractNumId w:val="19"/>
  </w:num>
  <w:num w:numId="43">
    <w:abstractNumId w:val="35"/>
  </w:num>
  <w:num w:numId="44">
    <w:abstractNumId w:val="42"/>
  </w:num>
  <w:num w:numId="45">
    <w:abstractNumId w:val="21"/>
  </w:num>
  <w:num w:numId="46">
    <w:abstractNumId w:val="13"/>
  </w:num>
  <w:num w:numId="47">
    <w:abstractNumId w:val="33"/>
  </w:num>
  <w:num w:numId="48">
    <w:abstractNumId w:val="18"/>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11F"/>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76D41"/>
    <w:rsid w:val="002847AD"/>
    <w:rsid w:val="00285957"/>
    <w:rsid w:val="00292B5D"/>
    <w:rsid w:val="00293200"/>
    <w:rsid w:val="00294CB9"/>
    <w:rsid w:val="0029523E"/>
    <w:rsid w:val="002B2D78"/>
    <w:rsid w:val="002B6066"/>
    <w:rsid w:val="002B75E4"/>
    <w:rsid w:val="002C16FC"/>
    <w:rsid w:val="002C427F"/>
    <w:rsid w:val="002C4D19"/>
    <w:rsid w:val="002D4E84"/>
    <w:rsid w:val="002E3964"/>
    <w:rsid w:val="002E6DE4"/>
    <w:rsid w:val="002F0DB1"/>
    <w:rsid w:val="002F16B7"/>
    <w:rsid w:val="002F4654"/>
    <w:rsid w:val="002F7CDF"/>
    <w:rsid w:val="003011C9"/>
    <w:rsid w:val="00303018"/>
    <w:rsid w:val="0030301E"/>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2C72"/>
    <w:rsid w:val="00383744"/>
    <w:rsid w:val="00387719"/>
    <w:rsid w:val="00387ABA"/>
    <w:rsid w:val="00392B07"/>
    <w:rsid w:val="003943CC"/>
    <w:rsid w:val="0039575E"/>
    <w:rsid w:val="00397C26"/>
    <w:rsid w:val="003A2DB6"/>
    <w:rsid w:val="003A42D4"/>
    <w:rsid w:val="003A7EFB"/>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4155"/>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4F6B3C"/>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33B0"/>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56B5C"/>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712"/>
    <w:rsid w:val="00844FC5"/>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2B26"/>
    <w:rsid w:val="008A483B"/>
    <w:rsid w:val="008A74F1"/>
    <w:rsid w:val="008B3F47"/>
    <w:rsid w:val="008C032D"/>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093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77A"/>
    <w:rsid w:val="00A3166B"/>
    <w:rsid w:val="00A34D14"/>
    <w:rsid w:val="00A3523D"/>
    <w:rsid w:val="00A370F7"/>
    <w:rsid w:val="00A37DF3"/>
    <w:rsid w:val="00A40483"/>
    <w:rsid w:val="00A44812"/>
    <w:rsid w:val="00A44BDA"/>
    <w:rsid w:val="00A46A68"/>
    <w:rsid w:val="00A54222"/>
    <w:rsid w:val="00A60D19"/>
    <w:rsid w:val="00A612F1"/>
    <w:rsid w:val="00A63100"/>
    <w:rsid w:val="00A659ED"/>
    <w:rsid w:val="00A72172"/>
    <w:rsid w:val="00A75CA9"/>
    <w:rsid w:val="00A77780"/>
    <w:rsid w:val="00A8079F"/>
    <w:rsid w:val="00A80FBD"/>
    <w:rsid w:val="00A813E7"/>
    <w:rsid w:val="00A8290F"/>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0D3"/>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341"/>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38BB"/>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133D"/>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3366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AE35-5680-4712-B521-0FD0F441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2020-08-27T16:53:00Z</dcterms:created>
  <dcterms:modified xsi:type="dcterms:W3CDTF">2020-09-01T17:59:00Z</dcterms:modified>
</cp:coreProperties>
</file>